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300"/>
        <w:ind w:firstLine="0" w:firstLineChars="0"/>
        <w:jc w:val="center"/>
        <w:textAlignment w:val="auto"/>
        <w:rPr>
          <w:rFonts w:hint="eastAsia" w:eastAsia="黑体"/>
          <w:b/>
          <w:bCs/>
          <w:sz w:val="52"/>
          <w:szCs w:val="52"/>
        </w:rPr>
      </w:pPr>
      <w:bookmarkStart w:id="0" w:name="_Toc503099774"/>
      <w:bookmarkStart w:id="1" w:name="_Toc503099887"/>
    </w:p>
    <w:p>
      <w:pPr>
        <w:keepNext w:val="0"/>
        <w:keepLines w:val="0"/>
        <w:pageBreakBefore w:val="0"/>
        <w:widowControl w:val="0"/>
        <w:kinsoku/>
        <w:wordWrap/>
        <w:overflowPunct/>
        <w:topLinePunct w:val="0"/>
        <w:autoSpaceDE/>
        <w:autoSpaceDN/>
        <w:bidi w:val="0"/>
        <w:adjustRightInd/>
        <w:snapToGrid/>
        <w:spacing w:beforeLines="300"/>
        <w:ind w:firstLine="0" w:firstLineChars="0"/>
        <w:jc w:val="center"/>
        <w:textAlignment w:val="auto"/>
        <w:rPr>
          <w:rFonts w:hint="eastAsia" w:eastAsia="黑体"/>
          <w:b/>
          <w:bCs/>
          <w:sz w:val="52"/>
          <w:szCs w:val="52"/>
        </w:rPr>
      </w:pPr>
      <w:r>
        <w:rPr>
          <w:rFonts w:hint="eastAsia" w:eastAsia="黑体"/>
          <w:b/>
          <w:bCs/>
          <w:sz w:val="52"/>
          <w:szCs w:val="52"/>
        </w:rPr>
        <w:t>乐山市“十四五”土壤污染防治规划</w:t>
      </w:r>
      <w:bookmarkEnd w:id="0"/>
      <w:bookmarkEnd w:id="1"/>
    </w:p>
    <w:p>
      <w:pPr>
        <w:pStyle w:val="2"/>
        <w:ind w:firstLine="2610" w:firstLineChars="500"/>
        <w:rPr>
          <w:rFonts w:hint="eastAsia" w:eastAsia="黑体"/>
          <w:lang w:eastAsia="zh-CN"/>
        </w:rPr>
      </w:pPr>
      <w:r>
        <w:rPr>
          <w:rFonts w:hint="eastAsia" w:eastAsia="黑体"/>
          <w:b/>
          <w:bCs/>
          <w:sz w:val="52"/>
          <w:szCs w:val="52"/>
          <w:lang w:eastAsia="zh-CN"/>
        </w:rPr>
        <w:t>（征求意见稿）</w:t>
      </w:r>
    </w:p>
    <w:p>
      <w:pPr>
        <w:ind w:firstLine="964"/>
        <w:jc w:val="center"/>
        <w:rPr>
          <w:b/>
          <w:bCs/>
          <w:sz w:val="48"/>
          <w:szCs w:val="48"/>
        </w:rPr>
      </w:pPr>
    </w:p>
    <w:p>
      <w:pPr>
        <w:ind w:firstLine="560"/>
        <w:rPr>
          <w:bCs/>
          <w:sz w:val="28"/>
          <w:szCs w:val="28"/>
        </w:rPr>
      </w:pPr>
    </w:p>
    <w:p>
      <w:pPr>
        <w:ind w:firstLine="560"/>
        <w:rPr>
          <w:bCs/>
          <w:sz w:val="28"/>
          <w:szCs w:val="28"/>
        </w:rPr>
      </w:pPr>
    </w:p>
    <w:p>
      <w:pPr>
        <w:ind w:firstLine="560"/>
        <w:rPr>
          <w:bCs/>
          <w:sz w:val="28"/>
          <w:szCs w:val="28"/>
        </w:rPr>
      </w:pPr>
    </w:p>
    <w:p>
      <w:pPr>
        <w:ind w:firstLine="560"/>
        <w:rPr>
          <w:bCs/>
          <w:sz w:val="28"/>
          <w:szCs w:val="28"/>
        </w:rPr>
      </w:pPr>
    </w:p>
    <w:p>
      <w:pPr>
        <w:ind w:firstLine="560"/>
        <w:rPr>
          <w:bCs/>
          <w:sz w:val="28"/>
          <w:szCs w:val="28"/>
        </w:rPr>
      </w:pPr>
    </w:p>
    <w:p>
      <w:pPr>
        <w:ind w:firstLine="560"/>
        <w:rPr>
          <w:bCs/>
          <w:sz w:val="28"/>
          <w:szCs w:val="28"/>
        </w:rPr>
      </w:pPr>
    </w:p>
    <w:p>
      <w:pPr>
        <w:ind w:firstLine="560"/>
        <w:rPr>
          <w:bCs/>
          <w:sz w:val="28"/>
          <w:szCs w:val="28"/>
        </w:rPr>
      </w:pPr>
    </w:p>
    <w:p>
      <w:pPr>
        <w:ind w:firstLine="560"/>
        <w:rPr>
          <w:bCs/>
          <w:sz w:val="28"/>
          <w:szCs w:val="28"/>
        </w:rPr>
      </w:pPr>
    </w:p>
    <w:p>
      <w:pPr>
        <w:ind w:firstLine="560"/>
        <w:rPr>
          <w:bCs/>
          <w:sz w:val="28"/>
          <w:szCs w:val="28"/>
        </w:rPr>
      </w:pPr>
    </w:p>
    <w:p>
      <w:pPr>
        <w:pStyle w:val="2"/>
        <w:ind w:left="0" w:leftChars="0" w:firstLine="0" w:firstLineChars="0"/>
      </w:pPr>
    </w:p>
    <w:p>
      <w:pPr>
        <w:ind w:left="1500" w:leftChars="500" w:firstLine="720"/>
        <w:jc w:val="left"/>
        <w:rPr>
          <w:rFonts w:eastAsia="黑体"/>
          <w:b/>
          <w:bCs/>
          <w:sz w:val="36"/>
          <w:szCs w:val="36"/>
        </w:rPr>
      </w:pPr>
    </w:p>
    <w:p>
      <w:pPr>
        <w:pStyle w:val="2"/>
        <w:ind w:firstLine="600"/>
      </w:pPr>
    </w:p>
    <w:p>
      <w:pPr>
        <w:ind w:firstLine="720"/>
        <w:jc w:val="center"/>
        <w:rPr>
          <w:rFonts w:eastAsia="黑体"/>
          <w:b/>
          <w:bCs/>
          <w:sz w:val="36"/>
          <w:szCs w:val="36"/>
        </w:rPr>
      </w:pPr>
    </w:p>
    <w:p>
      <w:pPr>
        <w:ind w:firstLine="720"/>
        <w:jc w:val="center"/>
        <w:rPr>
          <w:rFonts w:eastAsia="黑体"/>
          <w:b/>
          <w:bCs/>
          <w:sz w:val="36"/>
          <w:szCs w:val="36"/>
        </w:rPr>
      </w:pPr>
      <w:r>
        <w:rPr>
          <w:rFonts w:hint="eastAsia" w:eastAsia="黑体"/>
          <w:b/>
          <w:bCs/>
          <w:sz w:val="36"/>
          <w:szCs w:val="36"/>
        </w:rPr>
        <w:t>乐山市生态环境局</w:t>
      </w:r>
    </w:p>
    <w:p>
      <w:pPr>
        <w:ind w:firstLine="720"/>
        <w:jc w:val="center"/>
        <w:rPr>
          <w:rFonts w:eastAsia="黑体"/>
          <w:b/>
          <w:bCs/>
          <w:sz w:val="36"/>
          <w:szCs w:val="36"/>
        </w:rPr>
      </w:pPr>
      <w:r>
        <w:rPr>
          <w:rFonts w:eastAsia="黑体"/>
          <w:b/>
          <w:bCs/>
          <w:sz w:val="36"/>
          <w:szCs w:val="36"/>
        </w:rPr>
        <w:t>二〇二</w:t>
      </w:r>
      <w:r>
        <w:rPr>
          <w:rFonts w:hint="eastAsia" w:eastAsia="黑体"/>
          <w:b/>
          <w:bCs/>
          <w:sz w:val="36"/>
          <w:szCs w:val="36"/>
        </w:rPr>
        <w:t>二</w:t>
      </w:r>
      <w:r>
        <w:rPr>
          <w:rFonts w:eastAsia="黑体"/>
          <w:b/>
          <w:bCs/>
          <w:sz w:val="36"/>
          <w:szCs w:val="36"/>
        </w:rPr>
        <w:t>年</w:t>
      </w:r>
      <w:r>
        <w:rPr>
          <w:rFonts w:hint="eastAsia" w:eastAsia="黑体"/>
          <w:b/>
          <w:bCs/>
          <w:sz w:val="36"/>
          <w:szCs w:val="36"/>
          <w:lang w:eastAsia="zh-CN"/>
        </w:rPr>
        <w:t>十</w:t>
      </w:r>
      <w:r>
        <w:rPr>
          <w:rFonts w:eastAsia="黑体"/>
          <w:b/>
          <w:bCs/>
          <w:sz w:val="36"/>
          <w:szCs w:val="36"/>
        </w:rPr>
        <w:t>月</w:t>
      </w:r>
    </w:p>
    <w:p>
      <w:pPr>
        <w:pStyle w:val="12"/>
        <w:ind w:left="1200" w:hanging="600"/>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upperRoman"/>
          <w:cols w:space="425" w:num="1"/>
          <w:docGrid w:type="lines" w:linePitch="312" w:charSpace="0"/>
        </w:sectPr>
      </w:pPr>
    </w:p>
    <w:p>
      <w:pPr>
        <w:ind w:firstLine="0" w:firstLineChars="0"/>
        <w:jc w:val="center"/>
        <w:rPr>
          <w:rFonts w:eastAsia="黑体"/>
          <w:b/>
          <w:bCs/>
          <w:sz w:val="36"/>
          <w:szCs w:val="36"/>
        </w:rPr>
      </w:pPr>
      <w:r>
        <w:rPr>
          <w:rFonts w:hint="eastAsia" w:eastAsia="黑体"/>
          <w:b/>
          <w:bCs/>
          <w:sz w:val="36"/>
          <w:szCs w:val="36"/>
        </w:rPr>
        <w:t>前  言</w:t>
      </w:r>
    </w:p>
    <w:p>
      <w:pPr>
        <w:spacing w:beforeLines="50"/>
        <w:ind w:firstLine="600"/>
        <w:rPr>
          <w:rFonts w:hint="eastAsia" w:ascii="仿宋_GB2312" w:hAnsi="仿宋_GB2312" w:eastAsia="仿宋_GB2312" w:cs="仿宋_GB2312"/>
          <w:szCs w:val="30"/>
          <w:lang w:eastAsia="zh-CN"/>
        </w:rPr>
      </w:pPr>
      <w:r>
        <w:rPr>
          <w:rFonts w:hint="eastAsia" w:ascii="仿宋_GB2312" w:hAnsi="仿宋_GB2312" w:cs="仿宋_GB2312"/>
          <w:szCs w:val="30"/>
        </w:rPr>
        <w:t>乐山市位于成都平原地区，形成了以新材料、现代装备制造、生物制药等为主的新兴产业，以盐磷化工、冶金建材、农产品加工等为主的传统产业，工业较为发达。然而，乐山市中部地区中大型化工企业较多、周边存在农用地的企业多，区域环境污染总量较高，环境承载压力较大；乐山市东部地区受地形影响，大气污染物难以扩散，容易发生沉降对土壤造成污染，存在土壤污染风险，为乐山市土壤污染防治带来了挑战。</w:t>
      </w:r>
    </w:p>
    <w:p>
      <w:pPr>
        <w:ind w:firstLine="600"/>
        <w:rPr>
          <w:rFonts w:ascii="仿宋_GB2312" w:hAnsi="仿宋_GB2312" w:cs="仿宋_GB2312"/>
          <w:szCs w:val="30"/>
        </w:rPr>
      </w:pPr>
      <w:r>
        <w:rPr>
          <w:rFonts w:hint="eastAsia" w:ascii="仿宋_GB2312" w:hAnsi="仿宋_GB2312" w:cs="仿宋_GB2312"/>
          <w:szCs w:val="30"/>
        </w:rPr>
        <w:t>“十三五”期间，乐山市深入贯彻习近平生态文明思想，坚定不移践行“绿水青山就是金山银山”理念，认真落实《中华人民共和国土壤污染防治法》，全面实施《土壤污染防治行动计划》及《〈土壤污染防治行动计划〉四川省工作方案》，顺利完成受污染耕地和受污染地块安全利用等目标任务，积极开展农用地详查、重点行业企业用地调查等区域调查评估，土壤环境质量总体保持稳定，农用地和建设用地土壤环境安全得到基本保障，土壤环境风险得到基本管控。为进一步加强土壤污染防治，乐山市全面梳理了“十三五”土壤污染防治工作，结合区域实际，准确识别“十四五”面临的形势和问题，突出农用地安全利用和建设用地风险防控，明确土壤污染防治重点任务，建立任务清单和项目库。</w:t>
      </w:r>
    </w:p>
    <w:p>
      <w:pPr>
        <w:pStyle w:val="2"/>
        <w:ind w:firstLine="600"/>
        <w:rPr>
          <w:szCs w:val="30"/>
        </w:rPr>
      </w:pPr>
    </w:p>
    <w:p>
      <w:pPr>
        <w:ind w:firstLine="600"/>
        <w:rPr>
          <w:szCs w:val="30"/>
        </w:rPr>
      </w:pPr>
    </w:p>
    <w:p>
      <w:pPr>
        <w:pStyle w:val="3"/>
        <w:ind w:firstLine="640"/>
        <w:jc w:val="center"/>
      </w:pPr>
      <w:bookmarkStart w:id="2" w:name="_Toc11222"/>
      <w:bookmarkStart w:id="3" w:name="_Toc17320"/>
      <w:r>
        <w:rPr>
          <w:rFonts w:hint="eastAsia"/>
        </w:rPr>
        <w:t>目</w:t>
      </w:r>
      <w:r>
        <w:rPr>
          <w:rFonts w:hint="eastAsia"/>
          <w:lang w:val="en-US" w:eastAsia="zh-CN"/>
        </w:rPr>
        <w:t xml:space="preserve">  </w:t>
      </w:r>
      <w:r>
        <w:rPr>
          <w:rFonts w:hint="eastAsia"/>
        </w:rPr>
        <w:t>录</w:t>
      </w:r>
      <w:bookmarkEnd w:id="2"/>
      <w:bookmarkEnd w:id="3"/>
    </w:p>
    <w:p>
      <w:pPr>
        <w:pStyle w:val="11"/>
        <w:tabs>
          <w:tab w:val="right" w:leader="dot" w:pos="8306"/>
        </w:tabs>
      </w:pPr>
      <w:r>
        <w:rPr>
          <w:rFonts w:hint="eastAsia"/>
          <w:sz w:val="28"/>
          <w:szCs w:val="28"/>
        </w:rPr>
        <w:fldChar w:fldCharType="begin"/>
      </w:r>
      <w:r>
        <w:rPr>
          <w:rFonts w:hint="eastAsia"/>
          <w:sz w:val="28"/>
          <w:szCs w:val="28"/>
        </w:rPr>
        <w:instrText xml:space="preserve">TOC \o "1-2" \h \u </w:instrText>
      </w:r>
      <w:r>
        <w:rPr>
          <w:rFonts w:hint="eastAsia"/>
          <w:sz w:val="28"/>
          <w:szCs w:val="28"/>
        </w:rPr>
        <w:fldChar w:fldCharType="separate"/>
      </w:r>
      <w:r>
        <w:rPr>
          <w:rFonts w:hint="eastAsia"/>
          <w:szCs w:val="28"/>
        </w:rPr>
        <w:fldChar w:fldCharType="begin"/>
      </w:r>
      <w:r>
        <w:rPr>
          <w:rFonts w:hint="eastAsia"/>
          <w:szCs w:val="28"/>
        </w:rPr>
        <w:instrText xml:space="preserve"> HYPERLINK \l _Toc11222 </w:instrText>
      </w:r>
      <w:r>
        <w:rPr>
          <w:rFonts w:hint="eastAsia"/>
          <w:szCs w:val="28"/>
        </w:rPr>
        <w:fldChar w:fldCharType="separate"/>
      </w:r>
      <w:r>
        <w:rPr>
          <w:rFonts w:hint="eastAsia"/>
        </w:rPr>
        <w:t>目录</w:t>
      </w:r>
      <w:r>
        <w:tab/>
      </w:r>
      <w:r>
        <w:fldChar w:fldCharType="begin"/>
      </w:r>
      <w:r>
        <w:instrText xml:space="preserve"> PAGEREF _Toc11222 \h </w:instrText>
      </w:r>
      <w:r>
        <w:fldChar w:fldCharType="separate"/>
      </w:r>
      <w:r>
        <w:t>II</w:t>
      </w:r>
      <w:r>
        <w:fldChar w:fldCharType="end"/>
      </w:r>
      <w:r>
        <w:rPr>
          <w:rFonts w:hint="eastAsia"/>
          <w:szCs w:val="28"/>
        </w:rPr>
        <w:fldChar w:fldCharType="end"/>
      </w:r>
    </w:p>
    <w:p>
      <w:pPr>
        <w:pStyle w:val="11"/>
        <w:tabs>
          <w:tab w:val="right" w:leader="dot" w:pos="8306"/>
        </w:tabs>
      </w:pPr>
      <w:r>
        <w:rPr>
          <w:rFonts w:hint="eastAsia"/>
          <w:szCs w:val="28"/>
        </w:rPr>
        <w:fldChar w:fldCharType="begin"/>
      </w:r>
      <w:r>
        <w:rPr>
          <w:rFonts w:hint="eastAsia"/>
          <w:szCs w:val="28"/>
        </w:rPr>
        <w:instrText xml:space="preserve"> HYPERLINK \l _Toc10163 </w:instrText>
      </w:r>
      <w:r>
        <w:rPr>
          <w:rFonts w:hint="eastAsia"/>
          <w:szCs w:val="28"/>
        </w:rPr>
        <w:fldChar w:fldCharType="separate"/>
      </w:r>
      <w:r>
        <w:rPr>
          <w:rFonts w:hint="eastAsia"/>
        </w:rPr>
        <w:t>一、背景与形势</w:t>
      </w:r>
      <w:r>
        <w:tab/>
      </w:r>
      <w:r>
        <w:fldChar w:fldCharType="begin"/>
      </w:r>
      <w:r>
        <w:instrText xml:space="preserve"> PAGEREF _Toc10163 \h </w:instrText>
      </w:r>
      <w:r>
        <w:fldChar w:fldCharType="separate"/>
      </w:r>
      <w:r>
        <w:t>1</w:t>
      </w:r>
      <w:r>
        <w:fldChar w:fldCharType="end"/>
      </w:r>
      <w:r>
        <w:rPr>
          <w:rFonts w:hint="eastAsia"/>
          <w:szCs w:val="28"/>
        </w:rPr>
        <w:fldChar w:fldCharType="end"/>
      </w:r>
    </w:p>
    <w:p>
      <w:pPr>
        <w:pStyle w:val="13"/>
        <w:tabs>
          <w:tab w:val="right" w:leader="dot" w:pos="8306"/>
        </w:tabs>
      </w:pPr>
      <w:r>
        <w:rPr>
          <w:rFonts w:hint="eastAsia"/>
          <w:szCs w:val="28"/>
        </w:rPr>
        <w:fldChar w:fldCharType="begin"/>
      </w:r>
      <w:r>
        <w:rPr>
          <w:rFonts w:hint="eastAsia"/>
          <w:szCs w:val="28"/>
        </w:rPr>
        <w:instrText xml:space="preserve"> HYPERLINK \l _Toc2812 </w:instrText>
      </w:r>
      <w:r>
        <w:rPr>
          <w:rFonts w:hint="eastAsia"/>
          <w:szCs w:val="28"/>
        </w:rPr>
        <w:fldChar w:fldCharType="separate"/>
      </w:r>
      <w:r>
        <w:rPr>
          <w:rFonts w:hint="eastAsia"/>
        </w:rPr>
        <w:t>（一）区域概况</w:t>
      </w:r>
      <w:r>
        <w:tab/>
      </w:r>
      <w:r>
        <w:fldChar w:fldCharType="begin"/>
      </w:r>
      <w:r>
        <w:instrText xml:space="preserve"> PAGEREF _Toc2812 \h </w:instrText>
      </w:r>
      <w:r>
        <w:fldChar w:fldCharType="separate"/>
      </w:r>
      <w:r>
        <w:t>1</w:t>
      </w:r>
      <w:r>
        <w:fldChar w:fldCharType="end"/>
      </w:r>
      <w:r>
        <w:rPr>
          <w:rFonts w:hint="eastAsia"/>
          <w:szCs w:val="28"/>
        </w:rPr>
        <w:fldChar w:fldCharType="end"/>
      </w:r>
    </w:p>
    <w:p>
      <w:pPr>
        <w:pStyle w:val="13"/>
        <w:tabs>
          <w:tab w:val="right" w:leader="dot" w:pos="8306"/>
        </w:tabs>
      </w:pPr>
      <w:r>
        <w:rPr>
          <w:rFonts w:hint="eastAsia"/>
          <w:szCs w:val="28"/>
        </w:rPr>
        <w:fldChar w:fldCharType="begin"/>
      </w:r>
      <w:r>
        <w:rPr>
          <w:rFonts w:hint="eastAsia"/>
          <w:szCs w:val="28"/>
        </w:rPr>
        <w:instrText xml:space="preserve"> HYPERLINK \l _Toc29683 </w:instrText>
      </w:r>
      <w:r>
        <w:rPr>
          <w:rFonts w:hint="eastAsia"/>
          <w:szCs w:val="28"/>
        </w:rPr>
        <w:fldChar w:fldCharType="separate"/>
      </w:r>
      <w:r>
        <w:rPr>
          <w:rFonts w:hint="eastAsia"/>
        </w:rPr>
        <w:t>（二）“十三五”土壤污染防治工作成效</w:t>
      </w:r>
      <w:r>
        <w:tab/>
      </w:r>
      <w:r>
        <w:fldChar w:fldCharType="begin"/>
      </w:r>
      <w:r>
        <w:instrText xml:space="preserve"> PAGEREF _Toc29683 \h </w:instrText>
      </w:r>
      <w:r>
        <w:fldChar w:fldCharType="separate"/>
      </w:r>
      <w:r>
        <w:t>5</w:t>
      </w:r>
      <w:r>
        <w:fldChar w:fldCharType="end"/>
      </w:r>
      <w:r>
        <w:rPr>
          <w:rFonts w:hint="eastAsia"/>
          <w:szCs w:val="28"/>
        </w:rPr>
        <w:fldChar w:fldCharType="end"/>
      </w:r>
    </w:p>
    <w:p>
      <w:pPr>
        <w:pStyle w:val="13"/>
        <w:tabs>
          <w:tab w:val="right" w:leader="dot" w:pos="8306"/>
        </w:tabs>
      </w:pPr>
      <w:r>
        <w:rPr>
          <w:rFonts w:hint="eastAsia"/>
          <w:szCs w:val="28"/>
        </w:rPr>
        <w:fldChar w:fldCharType="begin"/>
      </w:r>
      <w:r>
        <w:rPr>
          <w:rFonts w:hint="eastAsia"/>
          <w:szCs w:val="28"/>
        </w:rPr>
        <w:instrText xml:space="preserve"> HYPERLINK \l _Toc31303 </w:instrText>
      </w:r>
      <w:r>
        <w:rPr>
          <w:rFonts w:hint="eastAsia"/>
          <w:szCs w:val="28"/>
        </w:rPr>
        <w:fldChar w:fldCharType="separate"/>
      </w:r>
      <w:r>
        <w:rPr>
          <w:rFonts w:hint="eastAsia"/>
        </w:rPr>
        <w:t>（三）主要问题</w:t>
      </w:r>
      <w:r>
        <w:tab/>
      </w:r>
      <w:r>
        <w:fldChar w:fldCharType="begin"/>
      </w:r>
      <w:r>
        <w:instrText xml:space="preserve"> PAGEREF _Toc31303 \h </w:instrText>
      </w:r>
      <w:r>
        <w:fldChar w:fldCharType="separate"/>
      </w:r>
      <w:r>
        <w:t>9</w:t>
      </w:r>
      <w:r>
        <w:fldChar w:fldCharType="end"/>
      </w:r>
      <w:r>
        <w:rPr>
          <w:rFonts w:hint="eastAsia"/>
          <w:szCs w:val="28"/>
        </w:rPr>
        <w:fldChar w:fldCharType="end"/>
      </w:r>
    </w:p>
    <w:p>
      <w:pPr>
        <w:pStyle w:val="13"/>
        <w:tabs>
          <w:tab w:val="right" w:leader="dot" w:pos="8306"/>
        </w:tabs>
      </w:pPr>
      <w:r>
        <w:rPr>
          <w:rFonts w:hint="eastAsia"/>
          <w:szCs w:val="28"/>
        </w:rPr>
        <w:fldChar w:fldCharType="begin"/>
      </w:r>
      <w:r>
        <w:rPr>
          <w:rFonts w:hint="eastAsia"/>
          <w:szCs w:val="28"/>
        </w:rPr>
        <w:instrText xml:space="preserve"> HYPERLINK \l _Toc30354 </w:instrText>
      </w:r>
      <w:r>
        <w:rPr>
          <w:rFonts w:hint="eastAsia"/>
          <w:szCs w:val="28"/>
        </w:rPr>
        <w:fldChar w:fldCharType="separate"/>
      </w:r>
      <w:r>
        <w:rPr>
          <w:rFonts w:hint="eastAsia"/>
        </w:rPr>
        <w:t>（四）形势与挑战</w:t>
      </w:r>
      <w:r>
        <w:tab/>
      </w:r>
      <w:r>
        <w:fldChar w:fldCharType="begin"/>
      </w:r>
      <w:r>
        <w:instrText xml:space="preserve"> PAGEREF _Toc30354 \h </w:instrText>
      </w:r>
      <w:r>
        <w:fldChar w:fldCharType="separate"/>
      </w:r>
      <w:r>
        <w:t>11</w:t>
      </w:r>
      <w:r>
        <w:fldChar w:fldCharType="end"/>
      </w:r>
      <w:r>
        <w:rPr>
          <w:rFonts w:hint="eastAsia"/>
          <w:szCs w:val="28"/>
        </w:rPr>
        <w:fldChar w:fldCharType="end"/>
      </w:r>
    </w:p>
    <w:p>
      <w:pPr>
        <w:pStyle w:val="11"/>
        <w:tabs>
          <w:tab w:val="right" w:leader="dot" w:pos="8306"/>
        </w:tabs>
      </w:pPr>
      <w:r>
        <w:rPr>
          <w:rFonts w:hint="eastAsia"/>
          <w:szCs w:val="28"/>
        </w:rPr>
        <w:fldChar w:fldCharType="begin"/>
      </w:r>
      <w:r>
        <w:rPr>
          <w:rFonts w:hint="eastAsia"/>
          <w:szCs w:val="28"/>
        </w:rPr>
        <w:instrText xml:space="preserve"> HYPERLINK \l _Toc6920 </w:instrText>
      </w:r>
      <w:r>
        <w:rPr>
          <w:rFonts w:hint="eastAsia"/>
          <w:szCs w:val="28"/>
        </w:rPr>
        <w:fldChar w:fldCharType="separate"/>
      </w:r>
      <w:r>
        <w:rPr>
          <w:rFonts w:hint="eastAsia"/>
        </w:rPr>
        <w:t>二、总体要求</w:t>
      </w:r>
      <w:r>
        <w:tab/>
      </w:r>
      <w:r>
        <w:fldChar w:fldCharType="begin"/>
      </w:r>
      <w:r>
        <w:instrText xml:space="preserve"> PAGEREF _Toc6920 \h </w:instrText>
      </w:r>
      <w:r>
        <w:fldChar w:fldCharType="separate"/>
      </w:r>
      <w:r>
        <w:t>13</w:t>
      </w:r>
      <w:r>
        <w:fldChar w:fldCharType="end"/>
      </w:r>
      <w:r>
        <w:rPr>
          <w:rFonts w:hint="eastAsia"/>
          <w:szCs w:val="28"/>
        </w:rPr>
        <w:fldChar w:fldCharType="end"/>
      </w:r>
    </w:p>
    <w:p>
      <w:pPr>
        <w:pStyle w:val="13"/>
        <w:tabs>
          <w:tab w:val="right" w:leader="dot" w:pos="8306"/>
        </w:tabs>
      </w:pPr>
      <w:r>
        <w:rPr>
          <w:rFonts w:hint="eastAsia"/>
          <w:szCs w:val="28"/>
        </w:rPr>
        <w:fldChar w:fldCharType="begin"/>
      </w:r>
      <w:r>
        <w:rPr>
          <w:rFonts w:hint="eastAsia"/>
          <w:szCs w:val="28"/>
        </w:rPr>
        <w:instrText xml:space="preserve"> HYPERLINK \l _Toc19471 </w:instrText>
      </w:r>
      <w:r>
        <w:rPr>
          <w:rFonts w:hint="eastAsia"/>
          <w:szCs w:val="28"/>
        </w:rPr>
        <w:fldChar w:fldCharType="separate"/>
      </w:r>
      <w:r>
        <w:rPr>
          <w:rFonts w:hint="eastAsia"/>
        </w:rPr>
        <w:t>（一）指导思想</w:t>
      </w:r>
      <w:r>
        <w:tab/>
      </w:r>
      <w:r>
        <w:fldChar w:fldCharType="begin"/>
      </w:r>
      <w:r>
        <w:instrText xml:space="preserve"> PAGEREF _Toc19471 \h </w:instrText>
      </w:r>
      <w:r>
        <w:fldChar w:fldCharType="separate"/>
      </w:r>
      <w:r>
        <w:t>13</w:t>
      </w:r>
      <w:r>
        <w:fldChar w:fldCharType="end"/>
      </w:r>
      <w:r>
        <w:rPr>
          <w:rFonts w:hint="eastAsia"/>
          <w:szCs w:val="28"/>
        </w:rPr>
        <w:fldChar w:fldCharType="end"/>
      </w:r>
    </w:p>
    <w:p>
      <w:pPr>
        <w:pStyle w:val="13"/>
        <w:tabs>
          <w:tab w:val="right" w:leader="dot" w:pos="8306"/>
        </w:tabs>
      </w:pPr>
      <w:r>
        <w:rPr>
          <w:rFonts w:hint="eastAsia"/>
          <w:szCs w:val="28"/>
        </w:rPr>
        <w:fldChar w:fldCharType="begin"/>
      </w:r>
      <w:r>
        <w:rPr>
          <w:rFonts w:hint="eastAsia"/>
          <w:szCs w:val="28"/>
        </w:rPr>
        <w:instrText xml:space="preserve"> HYPERLINK \l _Toc24177 </w:instrText>
      </w:r>
      <w:r>
        <w:rPr>
          <w:rFonts w:hint="eastAsia"/>
          <w:szCs w:val="28"/>
        </w:rPr>
        <w:fldChar w:fldCharType="separate"/>
      </w:r>
      <w:r>
        <w:rPr>
          <w:rFonts w:hint="eastAsia"/>
        </w:rPr>
        <w:t>（二）基本原则</w:t>
      </w:r>
      <w:r>
        <w:tab/>
      </w:r>
      <w:r>
        <w:fldChar w:fldCharType="begin"/>
      </w:r>
      <w:r>
        <w:instrText xml:space="preserve"> PAGEREF _Toc24177 \h </w:instrText>
      </w:r>
      <w:r>
        <w:fldChar w:fldCharType="separate"/>
      </w:r>
      <w:r>
        <w:t>13</w:t>
      </w:r>
      <w:r>
        <w:fldChar w:fldCharType="end"/>
      </w:r>
      <w:r>
        <w:rPr>
          <w:rFonts w:hint="eastAsia"/>
          <w:szCs w:val="28"/>
        </w:rPr>
        <w:fldChar w:fldCharType="end"/>
      </w:r>
    </w:p>
    <w:p>
      <w:pPr>
        <w:pStyle w:val="13"/>
        <w:tabs>
          <w:tab w:val="right" w:leader="dot" w:pos="8306"/>
        </w:tabs>
      </w:pPr>
      <w:r>
        <w:rPr>
          <w:rFonts w:hint="eastAsia"/>
          <w:szCs w:val="28"/>
        </w:rPr>
        <w:fldChar w:fldCharType="begin"/>
      </w:r>
      <w:r>
        <w:rPr>
          <w:rFonts w:hint="eastAsia"/>
          <w:szCs w:val="28"/>
        </w:rPr>
        <w:instrText xml:space="preserve"> HYPERLINK \l _Toc29912 </w:instrText>
      </w:r>
      <w:r>
        <w:rPr>
          <w:rFonts w:hint="eastAsia"/>
          <w:szCs w:val="28"/>
        </w:rPr>
        <w:fldChar w:fldCharType="separate"/>
      </w:r>
      <w:r>
        <w:rPr>
          <w:rFonts w:hint="eastAsia"/>
        </w:rPr>
        <w:t>（三）目标指标</w:t>
      </w:r>
      <w:r>
        <w:tab/>
      </w:r>
      <w:r>
        <w:fldChar w:fldCharType="begin"/>
      </w:r>
      <w:r>
        <w:instrText xml:space="preserve"> PAGEREF _Toc29912 \h </w:instrText>
      </w:r>
      <w:r>
        <w:fldChar w:fldCharType="separate"/>
      </w:r>
      <w:r>
        <w:t>14</w:t>
      </w:r>
      <w:r>
        <w:fldChar w:fldCharType="end"/>
      </w:r>
      <w:r>
        <w:rPr>
          <w:rFonts w:hint="eastAsia"/>
          <w:szCs w:val="28"/>
        </w:rPr>
        <w:fldChar w:fldCharType="end"/>
      </w:r>
    </w:p>
    <w:p>
      <w:pPr>
        <w:pStyle w:val="11"/>
        <w:tabs>
          <w:tab w:val="right" w:leader="dot" w:pos="8306"/>
        </w:tabs>
      </w:pPr>
      <w:r>
        <w:rPr>
          <w:rFonts w:hint="eastAsia"/>
          <w:szCs w:val="28"/>
        </w:rPr>
        <w:fldChar w:fldCharType="begin"/>
      </w:r>
      <w:r>
        <w:rPr>
          <w:rFonts w:hint="eastAsia"/>
          <w:szCs w:val="28"/>
        </w:rPr>
        <w:instrText xml:space="preserve"> HYPERLINK \l _Toc20271 </w:instrText>
      </w:r>
      <w:r>
        <w:rPr>
          <w:rFonts w:hint="eastAsia"/>
          <w:szCs w:val="28"/>
        </w:rPr>
        <w:fldChar w:fldCharType="separate"/>
      </w:r>
      <w:r>
        <w:rPr>
          <w:rFonts w:hint="eastAsia"/>
        </w:rPr>
        <w:t>三、主要任务</w:t>
      </w:r>
      <w:r>
        <w:tab/>
      </w:r>
      <w:r>
        <w:fldChar w:fldCharType="begin"/>
      </w:r>
      <w:r>
        <w:instrText xml:space="preserve"> PAGEREF _Toc20271 \h </w:instrText>
      </w:r>
      <w:r>
        <w:fldChar w:fldCharType="separate"/>
      </w:r>
      <w:r>
        <w:t>16</w:t>
      </w:r>
      <w:r>
        <w:fldChar w:fldCharType="end"/>
      </w:r>
      <w:r>
        <w:rPr>
          <w:rFonts w:hint="eastAsia"/>
          <w:szCs w:val="28"/>
        </w:rPr>
        <w:fldChar w:fldCharType="end"/>
      </w:r>
    </w:p>
    <w:p>
      <w:pPr>
        <w:pStyle w:val="13"/>
        <w:tabs>
          <w:tab w:val="right" w:leader="dot" w:pos="8306"/>
        </w:tabs>
      </w:pPr>
      <w:r>
        <w:rPr>
          <w:rFonts w:hint="eastAsia"/>
          <w:szCs w:val="28"/>
        </w:rPr>
        <w:fldChar w:fldCharType="begin"/>
      </w:r>
      <w:r>
        <w:rPr>
          <w:rFonts w:hint="eastAsia"/>
          <w:szCs w:val="28"/>
        </w:rPr>
        <w:instrText xml:space="preserve"> HYPERLINK \l _Toc5365 </w:instrText>
      </w:r>
      <w:r>
        <w:rPr>
          <w:rFonts w:hint="eastAsia"/>
          <w:szCs w:val="28"/>
        </w:rPr>
        <w:fldChar w:fldCharType="separate"/>
      </w:r>
      <w:r>
        <w:rPr>
          <w:rFonts w:hint="eastAsia"/>
        </w:rPr>
        <w:t>（一）深入推进土壤环境质量调查</w:t>
      </w:r>
      <w:r>
        <w:tab/>
      </w:r>
      <w:r>
        <w:fldChar w:fldCharType="begin"/>
      </w:r>
      <w:r>
        <w:instrText xml:space="preserve"> PAGEREF _Toc5365 \h </w:instrText>
      </w:r>
      <w:r>
        <w:fldChar w:fldCharType="separate"/>
      </w:r>
      <w:r>
        <w:t>16</w:t>
      </w:r>
      <w:r>
        <w:fldChar w:fldCharType="end"/>
      </w:r>
      <w:r>
        <w:rPr>
          <w:rFonts w:hint="eastAsia"/>
          <w:szCs w:val="28"/>
        </w:rPr>
        <w:fldChar w:fldCharType="end"/>
      </w:r>
    </w:p>
    <w:p>
      <w:pPr>
        <w:pStyle w:val="13"/>
        <w:tabs>
          <w:tab w:val="right" w:leader="dot" w:pos="8306"/>
        </w:tabs>
        <w:rPr>
          <w:rFonts w:hint="eastAsia" w:eastAsia="仿宋_GB2312"/>
          <w:lang w:val="en-US" w:eastAsia="zh-CN"/>
        </w:rPr>
      </w:pPr>
      <w:r>
        <w:rPr>
          <w:rFonts w:hint="eastAsia"/>
          <w:szCs w:val="28"/>
        </w:rPr>
        <w:fldChar w:fldCharType="begin"/>
      </w:r>
      <w:r>
        <w:rPr>
          <w:rFonts w:hint="eastAsia"/>
          <w:szCs w:val="28"/>
        </w:rPr>
        <w:instrText xml:space="preserve"> HYPERLINK \l _Toc31987 </w:instrText>
      </w:r>
      <w:r>
        <w:rPr>
          <w:rFonts w:hint="eastAsia"/>
          <w:szCs w:val="28"/>
        </w:rPr>
        <w:fldChar w:fldCharType="separate"/>
      </w:r>
      <w:r>
        <w:rPr>
          <w:rFonts w:hint="eastAsia"/>
        </w:rPr>
        <w:t>（二）加强污染源头防控</w:t>
      </w:r>
      <w:r>
        <w:tab/>
      </w:r>
      <w:r>
        <w:rPr>
          <w:rFonts w:hint="eastAsia"/>
          <w:lang w:val="en-US" w:eastAsia="zh-CN"/>
        </w:rPr>
        <w:t>1</w:t>
      </w:r>
      <w:r>
        <w:rPr>
          <w:rFonts w:hint="eastAsia"/>
          <w:szCs w:val="28"/>
        </w:rPr>
        <w:fldChar w:fldCharType="end"/>
      </w:r>
      <w:r>
        <w:rPr>
          <w:rFonts w:hint="eastAsia"/>
          <w:szCs w:val="28"/>
          <w:lang w:val="en-US" w:eastAsia="zh-CN"/>
        </w:rPr>
        <w:t>8</w:t>
      </w:r>
    </w:p>
    <w:p>
      <w:pPr>
        <w:pStyle w:val="13"/>
        <w:tabs>
          <w:tab w:val="right" w:leader="dot" w:pos="8306"/>
        </w:tabs>
        <w:rPr>
          <w:rFonts w:hint="eastAsia" w:eastAsia="仿宋_GB2312"/>
          <w:lang w:val="en-US" w:eastAsia="zh-CN"/>
        </w:rPr>
      </w:pPr>
      <w:r>
        <w:rPr>
          <w:rFonts w:hint="eastAsia"/>
          <w:szCs w:val="28"/>
        </w:rPr>
        <w:fldChar w:fldCharType="begin"/>
      </w:r>
      <w:r>
        <w:rPr>
          <w:rFonts w:hint="eastAsia"/>
          <w:szCs w:val="28"/>
        </w:rPr>
        <w:instrText xml:space="preserve"> HYPERLINK \l _Toc12791 </w:instrText>
      </w:r>
      <w:r>
        <w:rPr>
          <w:rFonts w:hint="eastAsia"/>
          <w:szCs w:val="28"/>
        </w:rPr>
        <w:fldChar w:fldCharType="separate"/>
      </w:r>
      <w:r>
        <w:rPr>
          <w:rFonts w:hint="eastAsia"/>
        </w:rPr>
        <w:t>（三）强化土壤风险管控和治理修复</w:t>
      </w:r>
      <w:r>
        <w:tab/>
      </w:r>
      <w:r>
        <w:rPr>
          <w:rFonts w:hint="eastAsia"/>
          <w:lang w:val="en-US" w:eastAsia="zh-CN"/>
        </w:rPr>
        <w:t>2</w:t>
      </w:r>
      <w:r>
        <w:rPr>
          <w:rFonts w:hint="eastAsia"/>
          <w:szCs w:val="28"/>
        </w:rPr>
        <w:fldChar w:fldCharType="end"/>
      </w:r>
      <w:r>
        <w:rPr>
          <w:rFonts w:hint="eastAsia"/>
          <w:szCs w:val="28"/>
          <w:lang w:val="en-US" w:eastAsia="zh-CN"/>
        </w:rPr>
        <w:t>2</w:t>
      </w:r>
    </w:p>
    <w:p>
      <w:pPr>
        <w:pStyle w:val="13"/>
        <w:tabs>
          <w:tab w:val="right" w:leader="dot" w:pos="8306"/>
        </w:tabs>
        <w:rPr>
          <w:rFonts w:hint="eastAsia" w:eastAsia="仿宋_GB2312"/>
          <w:lang w:val="en-US" w:eastAsia="zh-CN"/>
        </w:rPr>
      </w:pPr>
      <w:r>
        <w:rPr>
          <w:rFonts w:hint="eastAsia"/>
          <w:szCs w:val="28"/>
        </w:rPr>
        <w:fldChar w:fldCharType="begin"/>
      </w:r>
      <w:r>
        <w:rPr>
          <w:rFonts w:hint="eastAsia"/>
          <w:szCs w:val="28"/>
        </w:rPr>
        <w:instrText xml:space="preserve"> HYPERLINK \l _Toc16679 </w:instrText>
      </w:r>
      <w:r>
        <w:rPr>
          <w:rFonts w:hint="eastAsia"/>
          <w:szCs w:val="28"/>
        </w:rPr>
        <w:fldChar w:fldCharType="separate"/>
      </w:r>
      <w:r>
        <w:rPr>
          <w:rFonts w:hint="eastAsia"/>
        </w:rPr>
        <w:t>（四）强化土壤污染防治能力建设</w:t>
      </w:r>
      <w:r>
        <w:tab/>
      </w:r>
      <w:r>
        <w:rPr>
          <w:rFonts w:hint="eastAsia"/>
          <w:lang w:val="en-US" w:eastAsia="zh-CN"/>
        </w:rPr>
        <w:t>2</w:t>
      </w:r>
      <w:r>
        <w:rPr>
          <w:rFonts w:hint="eastAsia"/>
          <w:szCs w:val="28"/>
        </w:rPr>
        <w:fldChar w:fldCharType="end"/>
      </w:r>
      <w:r>
        <w:rPr>
          <w:rFonts w:hint="eastAsia"/>
          <w:szCs w:val="28"/>
          <w:lang w:val="en-US" w:eastAsia="zh-CN"/>
        </w:rPr>
        <w:t>9</w:t>
      </w:r>
    </w:p>
    <w:p>
      <w:pPr>
        <w:pStyle w:val="11"/>
        <w:tabs>
          <w:tab w:val="right" w:leader="dot" w:pos="8306"/>
        </w:tabs>
        <w:rPr>
          <w:rFonts w:hint="eastAsia" w:eastAsia="仿宋_GB2312"/>
          <w:lang w:val="en-US" w:eastAsia="zh-CN"/>
        </w:rPr>
      </w:pPr>
      <w:r>
        <w:rPr>
          <w:rFonts w:hint="eastAsia"/>
          <w:szCs w:val="28"/>
        </w:rPr>
        <w:fldChar w:fldCharType="begin"/>
      </w:r>
      <w:r>
        <w:rPr>
          <w:rFonts w:hint="eastAsia"/>
          <w:szCs w:val="28"/>
        </w:rPr>
        <w:instrText xml:space="preserve"> HYPERLINK \l _Toc26958 </w:instrText>
      </w:r>
      <w:r>
        <w:rPr>
          <w:rFonts w:hint="eastAsia"/>
          <w:szCs w:val="28"/>
        </w:rPr>
        <w:fldChar w:fldCharType="separate"/>
      </w:r>
      <w:r>
        <w:rPr>
          <w:rFonts w:hint="eastAsia"/>
        </w:rPr>
        <w:t>四、保障措施</w:t>
      </w:r>
      <w:r>
        <w:tab/>
      </w:r>
      <w:r>
        <w:rPr>
          <w:rFonts w:hint="eastAsia"/>
          <w:lang w:val="en-US" w:eastAsia="zh-CN"/>
        </w:rPr>
        <w:t>3</w:t>
      </w:r>
      <w:r>
        <w:rPr>
          <w:rFonts w:hint="eastAsia"/>
          <w:szCs w:val="28"/>
        </w:rPr>
        <w:fldChar w:fldCharType="end"/>
      </w:r>
      <w:r>
        <w:rPr>
          <w:rFonts w:hint="eastAsia"/>
          <w:szCs w:val="28"/>
          <w:lang w:val="en-US" w:eastAsia="zh-CN"/>
        </w:rPr>
        <w:t>3</w:t>
      </w:r>
    </w:p>
    <w:p>
      <w:pPr>
        <w:pStyle w:val="13"/>
        <w:tabs>
          <w:tab w:val="right" w:leader="dot" w:pos="8306"/>
        </w:tabs>
        <w:rPr>
          <w:rFonts w:hint="eastAsia" w:eastAsia="仿宋_GB2312"/>
          <w:lang w:val="en-US" w:eastAsia="zh-CN"/>
        </w:rPr>
      </w:pPr>
      <w:r>
        <w:rPr>
          <w:rFonts w:hint="eastAsia"/>
          <w:szCs w:val="28"/>
        </w:rPr>
        <w:fldChar w:fldCharType="begin"/>
      </w:r>
      <w:r>
        <w:rPr>
          <w:rFonts w:hint="eastAsia"/>
          <w:szCs w:val="28"/>
        </w:rPr>
        <w:instrText xml:space="preserve"> HYPERLINK \l _Toc3682 </w:instrText>
      </w:r>
      <w:r>
        <w:rPr>
          <w:rFonts w:hint="eastAsia"/>
          <w:szCs w:val="28"/>
        </w:rPr>
        <w:fldChar w:fldCharType="separate"/>
      </w:r>
      <w:r>
        <w:rPr>
          <w:rFonts w:hint="eastAsia"/>
        </w:rPr>
        <w:t>（一）强化组织领导</w:t>
      </w:r>
      <w:r>
        <w:tab/>
      </w:r>
      <w:r>
        <w:rPr>
          <w:rFonts w:hint="eastAsia"/>
          <w:lang w:val="en-US" w:eastAsia="zh-CN"/>
        </w:rPr>
        <w:t>3</w:t>
      </w:r>
      <w:r>
        <w:rPr>
          <w:rFonts w:hint="eastAsia"/>
          <w:szCs w:val="28"/>
        </w:rPr>
        <w:fldChar w:fldCharType="end"/>
      </w:r>
      <w:r>
        <w:rPr>
          <w:rFonts w:hint="eastAsia"/>
          <w:szCs w:val="28"/>
          <w:lang w:val="en-US" w:eastAsia="zh-CN"/>
        </w:rPr>
        <w:t>3</w:t>
      </w:r>
    </w:p>
    <w:p>
      <w:pPr>
        <w:pStyle w:val="13"/>
        <w:tabs>
          <w:tab w:val="right" w:leader="dot" w:pos="8306"/>
        </w:tabs>
        <w:rPr>
          <w:rFonts w:hint="eastAsia" w:eastAsia="仿宋_GB2312"/>
          <w:lang w:val="en-US" w:eastAsia="zh-CN"/>
        </w:rPr>
      </w:pPr>
      <w:r>
        <w:rPr>
          <w:rFonts w:hint="eastAsia"/>
          <w:szCs w:val="28"/>
        </w:rPr>
        <w:fldChar w:fldCharType="begin"/>
      </w:r>
      <w:r>
        <w:rPr>
          <w:rFonts w:hint="eastAsia"/>
          <w:szCs w:val="28"/>
        </w:rPr>
        <w:instrText xml:space="preserve"> HYPERLINK \l _Toc10879 </w:instrText>
      </w:r>
      <w:r>
        <w:rPr>
          <w:rFonts w:hint="eastAsia"/>
          <w:szCs w:val="28"/>
        </w:rPr>
        <w:fldChar w:fldCharType="separate"/>
      </w:r>
      <w:r>
        <w:rPr>
          <w:rFonts w:hint="eastAsia"/>
        </w:rPr>
        <w:t>（二）加强资金保障</w:t>
      </w:r>
      <w:r>
        <w:tab/>
      </w:r>
      <w:r>
        <w:rPr>
          <w:rFonts w:hint="eastAsia"/>
          <w:lang w:val="en-US" w:eastAsia="zh-CN"/>
        </w:rPr>
        <w:t>3</w:t>
      </w:r>
      <w:r>
        <w:rPr>
          <w:rFonts w:hint="eastAsia"/>
          <w:szCs w:val="28"/>
        </w:rPr>
        <w:fldChar w:fldCharType="end"/>
      </w:r>
      <w:r>
        <w:rPr>
          <w:rFonts w:hint="eastAsia"/>
          <w:szCs w:val="28"/>
          <w:lang w:val="en-US" w:eastAsia="zh-CN"/>
        </w:rPr>
        <w:t>3</w:t>
      </w:r>
    </w:p>
    <w:p>
      <w:pPr>
        <w:pStyle w:val="13"/>
        <w:tabs>
          <w:tab w:val="right" w:leader="dot" w:pos="8306"/>
        </w:tabs>
        <w:rPr>
          <w:rFonts w:hint="eastAsia" w:eastAsia="仿宋_GB2312"/>
          <w:lang w:val="en-US" w:eastAsia="zh-CN"/>
        </w:rPr>
      </w:pPr>
      <w:r>
        <w:rPr>
          <w:rFonts w:hint="eastAsia"/>
          <w:szCs w:val="28"/>
        </w:rPr>
        <w:fldChar w:fldCharType="begin"/>
      </w:r>
      <w:r>
        <w:rPr>
          <w:rFonts w:hint="eastAsia"/>
          <w:szCs w:val="28"/>
        </w:rPr>
        <w:instrText xml:space="preserve"> HYPERLINK \l _Toc18514 </w:instrText>
      </w:r>
      <w:r>
        <w:rPr>
          <w:rFonts w:hint="eastAsia"/>
          <w:szCs w:val="28"/>
        </w:rPr>
        <w:fldChar w:fldCharType="separate"/>
      </w:r>
      <w:r>
        <w:rPr>
          <w:rFonts w:hint="eastAsia"/>
        </w:rPr>
        <w:t>（三）严格目标考核</w:t>
      </w:r>
      <w:r>
        <w:tab/>
      </w:r>
      <w:r>
        <w:rPr>
          <w:rFonts w:hint="eastAsia"/>
          <w:lang w:val="en-US" w:eastAsia="zh-CN"/>
        </w:rPr>
        <w:t>3</w:t>
      </w:r>
      <w:r>
        <w:rPr>
          <w:rFonts w:hint="eastAsia"/>
          <w:szCs w:val="28"/>
        </w:rPr>
        <w:fldChar w:fldCharType="end"/>
      </w:r>
      <w:r>
        <w:rPr>
          <w:rFonts w:hint="eastAsia"/>
          <w:szCs w:val="28"/>
          <w:lang w:val="en-US" w:eastAsia="zh-CN"/>
        </w:rPr>
        <w:t>3</w:t>
      </w:r>
    </w:p>
    <w:p>
      <w:pPr>
        <w:pStyle w:val="13"/>
        <w:tabs>
          <w:tab w:val="right" w:leader="dot" w:pos="8306"/>
        </w:tabs>
        <w:rPr>
          <w:rFonts w:hint="eastAsia" w:eastAsia="仿宋_GB2312"/>
          <w:lang w:val="en-US" w:eastAsia="zh-CN"/>
        </w:rPr>
      </w:pPr>
      <w:r>
        <w:rPr>
          <w:rFonts w:hint="eastAsia"/>
          <w:szCs w:val="28"/>
        </w:rPr>
        <w:fldChar w:fldCharType="begin"/>
      </w:r>
      <w:r>
        <w:rPr>
          <w:rFonts w:hint="eastAsia"/>
          <w:szCs w:val="28"/>
        </w:rPr>
        <w:instrText xml:space="preserve"> HYPERLINK \l _Toc7113 </w:instrText>
      </w:r>
      <w:r>
        <w:rPr>
          <w:rFonts w:hint="eastAsia"/>
          <w:szCs w:val="28"/>
        </w:rPr>
        <w:fldChar w:fldCharType="separate"/>
      </w:r>
      <w:r>
        <w:rPr>
          <w:rFonts w:hint="eastAsia"/>
        </w:rPr>
        <w:t>（四）加强宣传引导</w:t>
      </w:r>
      <w:r>
        <w:tab/>
      </w:r>
      <w:r>
        <w:rPr>
          <w:rFonts w:hint="eastAsia"/>
          <w:lang w:val="en-US" w:eastAsia="zh-CN"/>
        </w:rPr>
        <w:t>3</w:t>
      </w:r>
      <w:r>
        <w:rPr>
          <w:rFonts w:hint="eastAsia"/>
          <w:szCs w:val="28"/>
        </w:rPr>
        <w:fldChar w:fldCharType="end"/>
      </w:r>
      <w:r>
        <w:rPr>
          <w:rFonts w:hint="eastAsia"/>
          <w:szCs w:val="28"/>
          <w:lang w:val="en-US" w:eastAsia="zh-CN"/>
        </w:rPr>
        <w:t>3</w:t>
      </w:r>
      <w:bookmarkStart w:id="24" w:name="_GoBack"/>
      <w:bookmarkEnd w:id="24"/>
    </w:p>
    <w:p>
      <w:pPr>
        <w:pStyle w:val="3"/>
        <w:spacing w:line="560" w:lineRule="exact"/>
        <w:ind w:firstLine="640"/>
        <w:sectPr>
          <w:footerReference r:id="rId11" w:type="default"/>
          <w:pgSz w:w="11906" w:h="16838"/>
          <w:pgMar w:top="1440" w:right="1800" w:bottom="1440" w:left="1800" w:header="851" w:footer="992" w:gutter="0"/>
          <w:pgNumType w:fmt="upperRoman" w:start="1"/>
          <w:cols w:space="425" w:num="1"/>
          <w:docGrid w:type="lines" w:linePitch="312" w:charSpace="0"/>
        </w:sectPr>
      </w:pPr>
      <w:r>
        <w:rPr>
          <w:rFonts w:hint="eastAsia"/>
          <w:szCs w:val="28"/>
        </w:rPr>
        <w:fldChar w:fldCharType="end"/>
      </w:r>
    </w:p>
    <w:p>
      <w:pPr>
        <w:pStyle w:val="3"/>
        <w:ind w:firstLine="640"/>
      </w:pPr>
      <w:bookmarkStart w:id="4" w:name="_Toc10163"/>
      <w:r>
        <w:rPr>
          <w:rFonts w:hint="eastAsia"/>
        </w:rPr>
        <w:t>一、背景与形势</w:t>
      </w:r>
      <w:bookmarkEnd w:id="4"/>
    </w:p>
    <w:p>
      <w:pPr>
        <w:pStyle w:val="4"/>
        <w:ind w:firstLine="643"/>
      </w:pPr>
      <w:bookmarkStart w:id="5" w:name="_Toc2812"/>
      <w:r>
        <w:rPr>
          <w:rFonts w:hint="eastAsia"/>
        </w:rPr>
        <w:t>（一）区域概况</w:t>
      </w:r>
      <w:bookmarkEnd w:id="5"/>
    </w:p>
    <w:p>
      <w:pPr>
        <w:pStyle w:val="5"/>
        <w:ind w:firstLine="643"/>
        <w:rPr>
          <w:rFonts w:eastAsia="仿宋"/>
        </w:rPr>
      </w:pPr>
      <w:r>
        <w:rPr>
          <w:rFonts w:eastAsia="仿宋"/>
        </w:rPr>
        <w:t>1.</w:t>
      </w:r>
      <w:r>
        <w:rPr>
          <w:bCs/>
          <w:szCs w:val="32"/>
        </w:rPr>
        <w:t>自然地理</w:t>
      </w:r>
    </w:p>
    <w:p>
      <w:pPr>
        <w:ind w:firstLine="600"/>
        <w:rPr>
          <w:szCs w:val="30"/>
        </w:rPr>
      </w:pPr>
      <w:r>
        <w:rPr>
          <w:rFonts w:eastAsia="仿宋"/>
          <w:szCs w:val="30"/>
        </w:rPr>
        <w:t>1.1</w:t>
      </w:r>
      <w:r>
        <w:rPr>
          <w:szCs w:val="30"/>
        </w:rPr>
        <w:t>地理位置</w:t>
      </w:r>
    </w:p>
    <w:p>
      <w:pPr>
        <w:ind w:firstLine="600"/>
        <w:rPr>
          <w:rFonts w:eastAsia="仿宋"/>
          <w:szCs w:val="30"/>
        </w:rPr>
      </w:pPr>
      <w:r>
        <w:rPr>
          <w:szCs w:val="30"/>
        </w:rPr>
        <w:t>乐山处在南丝绸之路、长江经济带交汇点，是成渝城市群规划建设的成都平原中心城市之一。北与眉山接壤，东与自贡、宜宾毗邻，南与凉山相接，西与雅安连界，中心城区距成都双流国际机场100公里。</w:t>
      </w:r>
    </w:p>
    <w:p>
      <w:pPr>
        <w:ind w:firstLine="600"/>
        <w:rPr>
          <w:szCs w:val="30"/>
        </w:rPr>
      </w:pPr>
      <w:r>
        <w:rPr>
          <w:rFonts w:hint="eastAsia" w:eastAsia="仿宋"/>
          <w:szCs w:val="30"/>
        </w:rPr>
        <w:t>1.2</w:t>
      </w:r>
      <w:r>
        <w:rPr>
          <w:szCs w:val="30"/>
        </w:rPr>
        <w:t>地形地貌</w:t>
      </w:r>
    </w:p>
    <w:p>
      <w:pPr>
        <w:ind w:firstLine="600"/>
        <w:rPr>
          <w:rFonts w:eastAsia="仿宋"/>
          <w:szCs w:val="30"/>
        </w:rPr>
      </w:pPr>
      <w:r>
        <w:rPr>
          <w:szCs w:val="30"/>
        </w:rPr>
        <w:t>乐山市土地总面积12720</w:t>
      </w:r>
      <w:r>
        <w:rPr>
          <w:rFonts w:hint="eastAsia"/>
          <w:szCs w:val="30"/>
        </w:rPr>
        <w:t>.03</w:t>
      </w:r>
      <w:r>
        <w:rPr>
          <w:szCs w:val="30"/>
        </w:rPr>
        <w:t>平方公里，占全省总面积的</w:t>
      </w:r>
      <w:r>
        <w:rPr>
          <w:rFonts w:hint="eastAsia"/>
          <w:szCs w:val="30"/>
        </w:rPr>
        <w:t>2.64</w:t>
      </w:r>
      <w:r>
        <w:rPr>
          <w:szCs w:val="30"/>
        </w:rPr>
        <w:t>％。山地、丘陵、平原分别占</w:t>
      </w:r>
      <w:r>
        <w:rPr>
          <w:rFonts w:hint="eastAsia"/>
          <w:szCs w:val="30"/>
        </w:rPr>
        <w:t>66.5</w:t>
      </w:r>
      <w:r>
        <w:rPr>
          <w:szCs w:val="30"/>
        </w:rPr>
        <w:t>％、21％、</w:t>
      </w:r>
      <w:r>
        <w:rPr>
          <w:rFonts w:hint="eastAsia"/>
          <w:szCs w:val="30"/>
        </w:rPr>
        <w:t>12.5</w:t>
      </w:r>
      <w:r>
        <w:rPr>
          <w:szCs w:val="30"/>
        </w:rPr>
        <w:t>％，</w:t>
      </w:r>
      <w:r>
        <w:rPr>
          <w:rFonts w:hint="eastAsia" w:ascii="仿宋_GB2312" w:hAnsi="仿宋_GB2312" w:cs="仿宋_GB2312"/>
          <w:szCs w:val="30"/>
        </w:rPr>
        <w:t>呈“七山二丘一平”地貌</w:t>
      </w:r>
      <w:r>
        <w:rPr>
          <w:szCs w:val="30"/>
        </w:rPr>
        <w:t>特征。</w:t>
      </w:r>
    </w:p>
    <w:p>
      <w:pPr>
        <w:ind w:firstLine="600"/>
        <w:rPr>
          <w:szCs w:val="30"/>
        </w:rPr>
      </w:pPr>
      <w:r>
        <w:rPr>
          <w:szCs w:val="30"/>
        </w:rPr>
        <w:t>1.3地质构造</w:t>
      </w:r>
    </w:p>
    <w:p>
      <w:pPr>
        <w:ind w:firstLine="600"/>
        <w:rPr>
          <w:szCs w:val="30"/>
        </w:rPr>
      </w:pPr>
      <w:r>
        <w:rPr>
          <w:szCs w:val="30"/>
        </w:rPr>
        <w:t>乐山市地质构造属中、新生界地质年代；地表层以下为红砂页岩，由粘土与红砂胶结而成。北部平坝上层为第四系全新泛洪冲积层，下层基岩为中生界，白垩系夹关组紫红、砖红色长石石英砂岩、夹粉砂岩及沙质粘土岩，河岸有基岩出露，为中生界白垩系夹关组底层，地质稳定，地质条件好。</w:t>
      </w:r>
    </w:p>
    <w:p>
      <w:pPr>
        <w:ind w:firstLine="600"/>
        <w:rPr>
          <w:szCs w:val="30"/>
        </w:rPr>
      </w:pPr>
      <w:r>
        <w:rPr>
          <w:szCs w:val="30"/>
        </w:rPr>
        <w:t>地质构造单元隶属于川滇南北构造带北段，构成形迹以南北向为主，兼有北向、北东向构成。地层发育较全，除志留系、泥盆系和石炭系外，其余各系地层均有出露。出露地层有第四系全新统填土层</w:t>
      </w:r>
      <w:r>
        <w:rPr>
          <w:rFonts w:hint="eastAsia" w:ascii="仿宋_GB2312" w:hAnsi="仿宋_GB2312" w:cs="仿宋_GB2312"/>
          <w:szCs w:val="30"/>
        </w:rPr>
        <w:t>(</w:t>
      </w:r>
      <w:r>
        <w:rPr>
          <w:szCs w:val="30"/>
        </w:rPr>
        <w:t>Q4ml</w:t>
      </w:r>
      <w:r>
        <w:rPr>
          <w:rFonts w:hint="eastAsia" w:ascii="仿宋_GB2312" w:hAnsi="仿宋_GB2312" w:cs="仿宋_GB2312"/>
          <w:szCs w:val="30"/>
        </w:rPr>
        <w:t>)</w:t>
      </w:r>
      <w:r>
        <w:rPr>
          <w:szCs w:val="30"/>
        </w:rPr>
        <w:t>、残坡积</w:t>
      </w:r>
      <w:r>
        <w:rPr>
          <w:rFonts w:hint="eastAsia" w:ascii="仿宋_GB2312" w:hAnsi="仿宋_GB2312" w:cs="仿宋_GB2312"/>
          <w:szCs w:val="30"/>
        </w:rPr>
        <w:t>层(</w:t>
      </w:r>
      <w:r>
        <w:rPr>
          <w:szCs w:val="30"/>
        </w:rPr>
        <w:t>Q4el+dl</w:t>
      </w:r>
      <w:r>
        <w:rPr>
          <w:rFonts w:hint="eastAsia" w:ascii="仿宋_GB2312" w:hAnsi="仿宋_GB2312" w:cs="仿宋_GB2312"/>
          <w:szCs w:val="30"/>
        </w:rPr>
        <w:t>)</w:t>
      </w:r>
      <w:r>
        <w:rPr>
          <w:szCs w:val="30"/>
        </w:rPr>
        <w:t>、二叠系上统（P2&amp;#946；）基岩。现由新至老分述如下：①填土层(Q4ml)：杂色，主要由砂卵石夹泥质等组成，结构松散-稍密，为人工修建回填，分布于堤坝、道路及居民宅地。②残坡积层（Q4el+dl）：松散～稍密状，为碎块石夹粉质粘土等组成，碎、块石成份以砂岩、玄武岩为主，棱角突出，分选性差，架空现象常见，含量占 30～50%，粉质粘土含量占 40%左右。分布于缓坡及沟谷坡脚等地，厚约 3～15m 不等。③二叠系上统（P2&amp;#946；）基岩：为青灰、黑色等，角砾状、致密块状峨眉山玄武岩。项目拟建地斜坡坡度一般 15～35&amp;#176；</w:t>
      </w:r>
      <w:r>
        <w:rPr>
          <w:rFonts w:hint="eastAsia"/>
          <w:szCs w:val="30"/>
        </w:rPr>
        <w:t>，</w:t>
      </w:r>
      <w:r>
        <w:rPr>
          <w:szCs w:val="30"/>
        </w:rPr>
        <w:t>表层为填土、残坡积层，松散～稍密状，主要由砂卵石夹泥质，块石、碎石夹粘土等组成，降水易渗入，土层透水性强。下伏基岩为二叠系上统（P2&amp;#946；）峨眉山玄武岩，与上覆地层呈不整合接触，岩体表层风化破碎，节理裂隙发育，力学性质较好。</w:t>
      </w:r>
    </w:p>
    <w:p>
      <w:pPr>
        <w:ind w:firstLine="600"/>
        <w:rPr>
          <w:szCs w:val="30"/>
        </w:rPr>
      </w:pPr>
      <w:r>
        <w:rPr>
          <w:szCs w:val="30"/>
        </w:rPr>
        <w:t>1.4土壤类型</w:t>
      </w:r>
    </w:p>
    <w:p>
      <w:pPr>
        <w:ind w:firstLine="600"/>
        <w:rPr>
          <w:szCs w:val="30"/>
        </w:rPr>
      </w:pPr>
      <w:r>
        <w:rPr>
          <w:szCs w:val="30"/>
        </w:rPr>
        <w:t>乐山市全市地质构造复杂，雨量充沛，河流纵横，生物气候植被垂直变化突出，成土母质变化多样，区内土壤的发展变化亦具有明显的山地垂直带谱的特征。</w:t>
      </w:r>
      <w:r>
        <w:rPr>
          <w:rFonts w:hint="eastAsia"/>
          <w:szCs w:val="30"/>
        </w:rPr>
        <w:t>主要存在十一大类型的土壤：即水稻土、紫色土、黄壤、红色石灰土、黑色石灰土、黄棕壤、暗棕壤、新积土、棕色针叶林土、沼泽土、亚高山草甸土。</w:t>
      </w:r>
    </w:p>
    <w:p>
      <w:pPr>
        <w:ind w:firstLine="600"/>
        <w:rPr>
          <w:szCs w:val="30"/>
        </w:rPr>
      </w:pPr>
      <w:r>
        <w:rPr>
          <w:szCs w:val="30"/>
        </w:rPr>
        <w:t>1.5自然资源</w:t>
      </w:r>
    </w:p>
    <w:p>
      <w:pPr>
        <w:ind w:firstLine="600"/>
        <w:rPr>
          <w:szCs w:val="30"/>
        </w:rPr>
      </w:pPr>
      <w:r>
        <w:rPr>
          <w:szCs w:val="30"/>
        </w:rPr>
        <w:t>乐山市区域内地质构造比较复杂，地层出露齐全，成矿条件较好。已发现各类矿36种，探明储量34种，主要以非金属矿产为主，主要矿产储量煤炭保有储量约4.40亿吨，年开采约316万吨；磷矿保有资源量约6．8亿吨，年开采约490万吨；岩盐矿资源储量达112亿吨，年开采约535万吨；石灰石资源丰富，已探明</w:t>
      </w:r>
      <w:r>
        <w:rPr>
          <w:rFonts w:hint="eastAsia"/>
          <w:szCs w:val="30"/>
        </w:rPr>
        <w:t>储量</w:t>
      </w:r>
      <w:r>
        <w:rPr>
          <w:szCs w:val="30"/>
        </w:rPr>
        <w:t>约14亿吨，年开采约1860万吨。境内江河纵横，拥有岷江、大渡河、青衣江和众多中小河流，水能资源理论蕴藏量约920万千瓦，经济可开发量约750万千瓦。</w:t>
      </w:r>
    </w:p>
    <w:p>
      <w:pPr>
        <w:ind w:firstLine="600"/>
        <w:rPr>
          <w:rFonts w:eastAsia="仿宋"/>
          <w:szCs w:val="30"/>
        </w:rPr>
      </w:pPr>
      <w:r>
        <w:rPr>
          <w:szCs w:val="30"/>
        </w:rPr>
        <w:t>乐山市境内地下水天然资源总量为1.931亿m</w:t>
      </w:r>
      <w:r>
        <w:rPr>
          <w:szCs w:val="30"/>
          <w:vertAlign w:val="superscript"/>
        </w:rPr>
        <w:t>3</w:t>
      </w:r>
      <w:r>
        <w:rPr>
          <w:szCs w:val="30"/>
        </w:rPr>
        <w:t>/a，其中松散岩类孔隙水0.196亿m</w:t>
      </w:r>
      <w:r>
        <w:rPr>
          <w:szCs w:val="30"/>
          <w:vertAlign w:val="superscript"/>
        </w:rPr>
        <w:t>3</w:t>
      </w:r>
      <w:r>
        <w:rPr>
          <w:szCs w:val="30"/>
        </w:rPr>
        <w:t>/a，占天然资源量的10.15%；基岩裂隙水为0.184亿m</w:t>
      </w:r>
      <w:r>
        <w:rPr>
          <w:szCs w:val="30"/>
          <w:vertAlign w:val="superscript"/>
        </w:rPr>
        <w:t>3</w:t>
      </w:r>
      <w:r>
        <w:rPr>
          <w:szCs w:val="30"/>
        </w:rPr>
        <w:t>/a，占天然资源量的9.53%；碳酸盐岩类裂隙水为1.44亿m</w:t>
      </w:r>
      <w:r>
        <w:rPr>
          <w:szCs w:val="30"/>
          <w:vertAlign w:val="superscript"/>
        </w:rPr>
        <w:t>3</w:t>
      </w:r>
      <w:r>
        <w:rPr>
          <w:szCs w:val="30"/>
        </w:rPr>
        <w:t>/a，占天然资源的74.78%；碎屑岩类裂隙层间水为0.1047亿m</w:t>
      </w:r>
      <w:r>
        <w:rPr>
          <w:szCs w:val="30"/>
          <w:vertAlign w:val="superscript"/>
        </w:rPr>
        <w:t>3</w:t>
      </w:r>
      <w:r>
        <w:rPr>
          <w:szCs w:val="30"/>
        </w:rPr>
        <w:t>/a，占天然资源量的5.54%，该区域地下水水质为碳酸钙型，矿化度小于0.5g/l。</w:t>
      </w:r>
    </w:p>
    <w:p>
      <w:pPr>
        <w:pStyle w:val="5"/>
        <w:ind w:firstLine="643"/>
        <w:rPr>
          <w:rFonts w:ascii="仿宋_GB2312" w:hAnsi="仿宋_GB2312" w:cs="仿宋_GB2312"/>
        </w:rPr>
      </w:pPr>
      <w:r>
        <w:rPr>
          <w:rFonts w:hint="eastAsia" w:eastAsia="仿宋"/>
        </w:rPr>
        <w:t>2.</w:t>
      </w:r>
      <w:r>
        <w:rPr>
          <w:rFonts w:hint="eastAsia" w:ascii="仿宋_GB2312" w:hAnsi="仿宋_GB2312" w:cs="仿宋_GB2312"/>
        </w:rPr>
        <w:t>社会经济</w:t>
      </w:r>
    </w:p>
    <w:p>
      <w:pPr>
        <w:ind w:firstLine="600"/>
        <w:rPr>
          <w:szCs w:val="30"/>
        </w:rPr>
      </w:pPr>
      <w:r>
        <w:rPr>
          <w:szCs w:val="30"/>
        </w:rPr>
        <w:t>2.1行政区划</w:t>
      </w:r>
    </w:p>
    <w:p>
      <w:pPr>
        <w:ind w:firstLine="600"/>
        <w:rPr>
          <w:szCs w:val="30"/>
        </w:rPr>
      </w:pPr>
      <w:r>
        <w:rPr>
          <w:szCs w:val="30"/>
        </w:rPr>
        <w:t>乐山市辖</w:t>
      </w:r>
      <w:r>
        <w:rPr>
          <w:rFonts w:hint="eastAsia"/>
          <w:szCs w:val="30"/>
        </w:rPr>
        <w:t>5</w:t>
      </w:r>
      <w:r>
        <w:rPr>
          <w:szCs w:val="30"/>
        </w:rPr>
        <w:t>个市辖区（市中区、五通桥区、沙湾区、金口河区</w:t>
      </w:r>
      <w:r>
        <w:rPr>
          <w:rFonts w:hint="eastAsia"/>
          <w:szCs w:val="30"/>
        </w:rPr>
        <w:t>、高新区</w:t>
      </w:r>
      <w:r>
        <w:rPr>
          <w:szCs w:val="30"/>
        </w:rPr>
        <w:t>）、1个县级市（峨眉山市）、4个县（犍为县、井研县、夹江县、沐川县）和2个自治县（峨边彝族自治县、马边彝族自治县），共有18个乡、103个镇、11个街道，1114个村、259个社区。全市户籍人口349.5万人，占全省总人口的3.84％；年末常住人口327.1万人。</w:t>
      </w:r>
    </w:p>
    <w:p>
      <w:pPr>
        <w:ind w:firstLine="600"/>
        <w:rPr>
          <w:szCs w:val="30"/>
        </w:rPr>
      </w:pPr>
      <w:r>
        <w:rPr>
          <w:szCs w:val="30"/>
        </w:rPr>
        <w:t>2.2经济发展</w:t>
      </w:r>
    </w:p>
    <w:p>
      <w:pPr>
        <w:ind w:firstLine="600"/>
        <w:rPr>
          <w:szCs w:val="30"/>
        </w:rPr>
      </w:pPr>
      <w:r>
        <w:rPr>
          <w:szCs w:val="30"/>
        </w:rPr>
        <w:t>乐山市2020年实现地区生产总值（GDP）2003.43亿元，比上年增长4．1％。其中，第一产业增加值290．33亿元，增长5．8％；第二产业增加值823.08亿元，增长4.1％；第三产业增加值890．02亿元，增长3.7％。第一产业增加值占GDP的比重为14.5％，比上年上升1.5个百分点；第二产业增加值比重为41.1％，下降1．9个百分点；第三产业增加值比重为44.4％，上升0.4个百分点。三次产业分别拉动GDP增长0.6、2.1和1.4个百分点，对经济增长的贡献率分别为15.7％、50.7％和33.6％。</w:t>
      </w:r>
    </w:p>
    <w:p>
      <w:pPr>
        <w:ind w:firstLine="600"/>
        <w:rPr>
          <w:szCs w:val="30"/>
        </w:rPr>
      </w:pPr>
      <w:r>
        <w:rPr>
          <w:szCs w:val="30"/>
        </w:rPr>
        <w:t>2.3产业结构</w:t>
      </w:r>
    </w:p>
    <w:p>
      <w:pPr>
        <w:ind w:firstLine="600"/>
        <w:rPr>
          <w:szCs w:val="30"/>
        </w:rPr>
      </w:pPr>
      <w:r>
        <w:rPr>
          <w:szCs w:val="30"/>
        </w:rPr>
        <w:t>乐山是四川重要的农产品生产和加工基地，全市以建设现代农业园区为载体，加快推进现代农业</w:t>
      </w:r>
      <w:r>
        <w:rPr>
          <w:rFonts w:hint="eastAsia" w:ascii="仿宋_GB2312" w:hAnsi="仿宋_GB2312" w:cs="仿宋_GB2312"/>
          <w:szCs w:val="30"/>
        </w:rPr>
        <w:t>“</w:t>
      </w:r>
      <w:r>
        <w:rPr>
          <w:szCs w:val="30"/>
        </w:rPr>
        <w:t>8＋3</w:t>
      </w:r>
      <w:r>
        <w:rPr>
          <w:rFonts w:hint="eastAsia" w:ascii="仿宋_GB2312" w:hAnsi="仿宋_GB2312" w:cs="仿宋_GB2312"/>
          <w:szCs w:val="30"/>
        </w:rPr>
        <w:t>”</w:t>
      </w:r>
      <w:r>
        <w:rPr>
          <w:szCs w:val="30"/>
        </w:rPr>
        <w:t>产业体系，农业供给侧结构性改革不断深化，粮油、畜牧、茶叶、竹业、水果、蔬菜、水产、中药材等8大特色优势产业和现代农业种业、现代农业装备、现代农业烘干冷链物流3大先导性产业持续壮大。乐山是四川重要的工业城市，工业门类齐全、发展基础较好，形成了包括以电子信息、清洁能源、新材料、现代装备制造、生物制药为主的新兴产业，以盐磷化工、冶金建材、农产品加工为主的传统产业。新兴产业主营业务收入占全市规模以上工业比重提高到39％。2020年，乐山全市规模以上服务业企业171家，限额以上批发零售和住宿餐饮企业629家。全年实现社会消费品零售总额748.31亿元，比上年下降2.4％。限额以上批发和零售业商品零售额237.62亿元，比上年增长2.9％。</w:t>
      </w:r>
    </w:p>
    <w:p>
      <w:pPr>
        <w:pStyle w:val="4"/>
        <w:ind w:firstLine="643"/>
      </w:pPr>
      <w:bookmarkStart w:id="6" w:name="_Toc29683"/>
      <w:r>
        <w:rPr>
          <w:rFonts w:hint="eastAsia"/>
        </w:rPr>
        <w:t>（二）“十三五”土壤污染防治工作成效</w:t>
      </w:r>
      <w:bookmarkEnd w:id="6"/>
    </w:p>
    <w:p>
      <w:pPr>
        <w:pStyle w:val="5"/>
        <w:ind w:firstLine="643"/>
        <w:rPr>
          <w:rFonts w:eastAsia="仿宋"/>
        </w:rPr>
      </w:pPr>
      <w:r>
        <w:rPr>
          <w:rFonts w:hint="eastAsia" w:eastAsia="仿宋"/>
        </w:rPr>
        <w:t>1.环境底数逐步摸清</w:t>
      </w:r>
    </w:p>
    <w:p>
      <w:pPr>
        <w:ind w:firstLine="600"/>
        <w:rPr>
          <w:rFonts w:hint="eastAsia"/>
          <w:szCs w:val="30"/>
          <w:lang w:eastAsia="zh-CN"/>
        </w:rPr>
      </w:pPr>
      <w:r>
        <w:rPr>
          <w:rFonts w:hint="eastAsia"/>
          <w:szCs w:val="30"/>
          <w:lang w:eastAsia="zh-CN"/>
        </w:rPr>
        <w:t>全面</w:t>
      </w:r>
      <w:r>
        <w:rPr>
          <w:szCs w:val="30"/>
        </w:rPr>
        <w:t>完成农用地土壤污染状况详查</w:t>
      </w:r>
      <w:r>
        <w:rPr>
          <w:rFonts w:hint="eastAsia"/>
          <w:szCs w:val="30"/>
          <w:lang w:eastAsia="zh-CN"/>
        </w:rPr>
        <w:t>和</w:t>
      </w:r>
      <w:r>
        <w:rPr>
          <w:szCs w:val="30"/>
        </w:rPr>
        <w:t>重点行业企业用地土壤污染状况调查</w:t>
      </w:r>
      <w:r>
        <w:rPr>
          <w:rFonts w:hint="eastAsia"/>
          <w:szCs w:val="30"/>
          <w:lang w:eastAsia="zh-CN"/>
        </w:rPr>
        <w:t>，查明乐山市农用地优先保护类、安全利用类、严格管控类耕地面积、分布情况、污染因子以及企业用地地块污染状况。</w:t>
      </w:r>
    </w:p>
    <w:p>
      <w:pPr>
        <w:pStyle w:val="5"/>
        <w:ind w:firstLine="643"/>
        <w:rPr>
          <w:rFonts w:eastAsia="仿宋"/>
        </w:rPr>
      </w:pPr>
      <w:r>
        <w:rPr>
          <w:rFonts w:hint="eastAsia" w:eastAsia="仿宋"/>
        </w:rPr>
        <w:t>2.</w:t>
      </w:r>
      <w:r>
        <w:rPr>
          <w:rFonts w:hint="eastAsia" w:ascii="仿宋_GB2312" w:hAnsi="仿宋_GB2312" w:cs="仿宋_GB2312"/>
        </w:rPr>
        <w:t>源头预防不断强化</w:t>
      </w:r>
    </w:p>
    <w:p>
      <w:pPr>
        <w:ind w:firstLine="602"/>
        <w:rPr>
          <w:szCs w:val="30"/>
        </w:rPr>
      </w:pPr>
      <w:r>
        <w:rPr>
          <w:rFonts w:hint="eastAsia"/>
          <w:b/>
          <w:bCs/>
          <w:szCs w:val="22"/>
        </w:rPr>
        <w:t>化肥农药使用量零增长。</w:t>
      </w:r>
      <w:r>
        <w:rPr>
          <w:szCs w:val="30"/>
        </w:rPr>
        <w:t>截至2020年底，乐山市优化施肥技术推广面积达433万亩，技术覆盖率达到90.6%，化肥施用量</w:t>
      </w:r>
      <w:r>
        <w:rPr>
          <w:rFonts w:hint="eastAsia"/>
          <w:szCs w:val="30"/>
          <w:lang w:eastAsia="zh-CN"/>
        </w:rPr>
        <w:t>约为</w:t>
      </w:r>
      <w:r>
        <w:rPr>
          <w:rFonts w:hint="eastAsia"/>
          <w:szCs w:val="30"/>
          <w:lang w:val="en-US" w:eastAsia="zh-CN"/>
        </w:rPr>
        <w:t>7.8万</w:t>
      </w:r>
      <w:r>
        <w:rPr>
          <w:szCs w:val="30"/>
        </w:rPr>
        <w:t>吨，化肥利用率达到40%以上，相比十二五末期减少16631吨，同比降低16.8%，连续四年实现化肥、农药使用量零增长。制定《乐山市2020年度农业废弃物综合利用方案》，加强农药包装废弃物、农膜回收处置，建立健全工作巡查机制，对农膜使用相关工作实行台账式监督管理，2020年全市废弃农膜回收率达80%以上。</w:t>
      </w:r>
    </w:p>
    <w:p>
      <w:pPr>
        <w:ind w:firstLine="602"/>
        <w:rPr>
          <w:rFonts w:hint="eastAsia" w:eastAsia="仿宋_GB2312"/>
          <w:szCs w:val="30"/>
          <w:lang w:eastAsia="zh-CN"/>
        </w:rPr>
      </w:pPr>
      <w:r>
        <w:rPr>
          <w:b/>
          <w:bCs/>
          <w:szCs w:val="30"/>
        </w:rPr>
        <w:t>重点企业与园区土壤环境管控。</w:t>
      </w:r>
      <w:r>
        <w:rPr>
          <w:rFonts w:hint="eastAsia"/>
          <w:szCs w:val="30"/>
        </w:rPr>
        <w:t>按年度更新重点监管单位名单，并督促重点监管单位开展隐患排查、自行监测等工作，</w:t>
      </w:r>
      <w:r>
        <w:rPr>
          <w:rFonts w:hint="eastAsia"/>
          <w:szCs w:val="30"/>
          <w:lang w:eastAsia="zh-CN"/>
        </w:rPr>
        <w:t>并开展部分工业园区、污水处理厂、垃圾填埋场及焚烧厂监督性监测。</w:t>
      </w:r>
    </w:p>
    <w:p>
      <w:pPr>
        <w:ind w:firstLine="602"/>
        <w:rPr>
          <w:szCs w:val="30"/>
        </w:rPr>
      </w:pPr>
      <w:r>
        <w:rPr>
          <w:b/>
          <w:bCs/>
          <w:szCs w:val="30"/>
        </w:rPr>
        <w:t>涉重金属行业污染防控。</w:t>
      </w:r>
      <w:r>
        <w:rPr>
          <w:szCs w:val="30"/>
        </w:rPr>
        <w:t>全面开展涉重金属行业污染防控，排查全口径涉重金属重点行业企业，截至2020年底，全市重金属污染物排放量较2013年共削减5.3kg，下降0.87%。持续推进涉镉等重金属重点行业企业排查整治，完成重点企业排查。积极实施工业固体废物堆存场所环境整治及资源化利用，</w:t>
      </w:r>
      <w:r>
        <w:rPr>
          <w:rFonts w:hint="eastAsia"/>
          <w:szCs w:val="30"/>
          <w:lang w:eastAsia="zh-CN"/>
        </w:rPr>
        <w:t>督促</w:t>
      </w:r>
      <w:r>
        <w:rPr>
          <w:szCs w:val="30"/>
        </w:rPr>
        <w:t>企业制定相关措施方案并开展整治工作。</w:t>
      </w:r>
    </w:p>
    <w:p>
      <w:pPr>
        <w:ind w:firstLine="602"/>
        <w:rPr>
          <w:szCs w:val="30"/>
        </w:rPr>
      </w:pPr>
      <w:r>
        <w:rPr>
          <w:rFonts w:hint="eastAsia"/>
          <w:b/>
          <w:bCs/>
          <w:szCs w:val="30"/>
        </w:rPr>
        <w:t>固体废物处置能力提升。</w:t>
      </w:r>
      <w:r>
        <w:rPr>
          <w:szCs w:val="30"/>
        </w:rPr>
        <w:t>截至2020年底，乐山市共有生活垃圾环保发电项目1个，生活垃圾卫生填埋场</w:t>
      </w:r>
      <w:r>
        <w:rPr>
          <w:rFonts w:hint="eastAsia"/>
          <w:szCs w:val="30"/>
          <w:lang w:val="en-US" w:eastAsia="zh-CN"/>
        </w:rPr>
        <w:t>10</w:t>
      </w:r>
      <w:r>
        <w:rPr>
          <w:szCs w:val="30"/>
        </w:rPr>
        <w:t>座，水泥窑协同处理焚烧处理厂1座，餐厨垃圾处理设施项目1个，生活垃圾中转站103座，生活垃圾无害化收转运及处理设计处理规模2547吨/日，实际处理量1950吨/日，年处理生活垃圾</w:t>
      </w:r>
      <w:r>
        <w:rPr>
          <w:rFonts w:hint="eastAsia"/>
          <w:szCs w:val="30"/>
          <w:lang w:val="en-US" w:eastAsia="zh-CN"/>
        </w:rPr>
        <w:t>71</w:t>
      </w:r>
      <w:r>
        <w:rPr>
          <w:szCs w:val="30"/>
        </w:rPr>
        <w:t>万吨，无害化处理率达到100%，城市生活垃圾焚烧处理率达到60%，顺利完成“十三五”规划指标要求。“十三五”期间，乐山市共新建两家危险废物集中处置设施，分别是乐山市危险废物集中处置中心和医疗废物处置中心二期。截至2020年底，乐山市危险废物集中处置项目已完成工程建设。乐山市医疗废物集中处置项目二期建设规模10吨/日，采用高温</w:t>
      </w:r>
      <w:r>
        <w:rPr>
          <w:rFonts w:hint="eastAsia"/>
          <w:szCs w:val="30"/>
          <w:lang w:eastAsia="zh-CN"/>
        </w:rPr>
        <w:t>干热</w:t>
      </w:r>
      <w:r>
        <w:rPr>
          <w:szCs w:val="30"/>
        </w:rPr>
        <w:t>工艺，已建成投运，极大提升了区域危废处置能力。</w:t>
      </w:r>
    </w:p>
    <w:p>
      <w:pPr>
        <w:ind w:firstLine="602"/>
        <w:rPr>
          <w:szCs w:val="30"/>
        </w:rPr>
      </w:pPr>
      <w:r>
        <w:rPr>
          <w:rFonts w:hint="eastAsia"/>
          <w:b/>
          <w:bCs/>
          <w:szCs w:val="22"/>
        </w:rPr>
        <w:t>非正规垃圾堆放点排查整治。</w:t>
      </w:r>
      <w:r>
        <w:rPr>
          <w:szCs w:val="30"/>
        </w:rPr>
        <w:t>乐山市积极排查全市非正规垃圾堆放点并进行排查结果审核、建立整治工作台账。全市共排查出47处非正规垃圾堆放点，其中包括21处生活垃圾，16处一般工业固废，5处建筑垃圾，5处采掘业废弃原料。截至2020年底，全市47处非正规垃圾堆放点均已全部整治完成销号，整治销号率达100%。</w:t>
      </w:r>
    </w:p>
    <w:p>
      <w:pPr>
        <w:pStyle w:val="5"/>
        <w:ind w:firstLine="643"/>
        <w:rPr>
          <w:rFonts w:eastAsia="仿宋"/>
        </w:rPr>
      </w:pPr>
      <w:r>
        <w:rPr>
          <w:rFonts w:hint="eastAsia" w:eastAsia="仿宋"/>
        </w:rPr>
        <w:t>3.</w:t>
      </w:r>
      <w:r>
        <w:rPr>
          <w:rFonts w:hint="eastAsia" w:ascii="仿宋_GB2312" w:hAnsi="仿宋_GB2312" w:cs="仿宋_GB2312"/>
        </w:rPr>
        <w:t>风险管控扎实推进</w:t>
      </w:r>
    </w:p>
    <w:p>
      <w:pPr>
        <w:ind w:firstLine="602"/>
        <w:rPr>
          <w:szCs w:val="30"/>
        </w:rPr>
      </w:pPr>
      <w:r>
        <w:rPr>
          <w:b/>
          <w:bCs/>
        </w:rPr>
        <w:t>实施农用地分类管理。</w:t>
      </w:r>
      <w:r>
        <w:rPr>
          <w:szCs w:val="30"/>
        </w:rPr>
        <w:t>完成全市耕地土壤环境质量类别划定，</w:t>
      </w:r>
      <w:r>
        <w:rPr>
          <w:rFonts w:hint="eastAsia"/>
          <w:szCs w:val="30"/>
          <w:lang w:eastAsia="zh-CN"/>
        </w:rPr>
        <w:t>明确</w:t>
      </w:r>
      <w:r>
        <w:rPr>
          <w:szCs w:val="30"/>
        </w:rPr>
        <w:t>全市优先保护类</w:t>
      </w:r>
      <w:r>
        <w:rPr>
          <w:rFonts w:hint="eastAsia"/>
          <w:szCs w:val="30"/>
          <w:lang w:eastAsia="zh-CN"/>
        </w:rPr>
        <w:t>、</w:t>
      </w:r>
      <w:r>
        <w:rPr>
          <w:szCs w:val="30"/>
        </w:rPr>
        <w:t>安全利用类</w:t>
      </w:r>
      <w:r>
        <w:rPr>
          <w:rFonts w:hint="eastAsia"/>
          <w:szCs w:val="30"/>
          <w:lang w:eastAsia="zh-CN"/>
        </w:rPr>
        <w:t>、</w:t>
      </w:r>
      <w:r>
        <w:rPr>
          <w:szCs w:val="30"/>
        </w:rPr>
        <w:t>严格管控类耕地面积</w:t>
      </w:r>
      <w:r>
        <w:rPr>
          <w:rFonts w:hint="eastAsia"/>
          <w:szCs w:val="30"/>
          <w:lang w:eastAsia="zh-CN"/>
        </w:rPr>
        <w:t>及分布区域</w:t>
      </w:r>
      <w:r>
        <w:rPr>
          <w:szCs w:val="30"/>
        </w:rPr>
        <w:t>，并制定相对应措施方案。完成受污染耕地安全利用39.055万亩的目标任务，其中安全利用面积任务38.83万亩，严格管控类0.225万亩，超额完成目标任务，受污染耕地安全利用率达100%。</w:t>
      </w:r>
    </w:p>
    <w:p>
      <w:pPr>
        <w:ind w:firstLine="602"/>
        <w:rPr>
          <w:szCs w:val="30"/>
        </w:rPr>
      </w:pPr>
      <w:r>
        <w:rPr>
          <w:b/>
          <w:bCs/>
        </w:rPr>
        <w:t>严格建设用地准入管理。</w:t>
      </w:r>
      <w:r>
        <w:rPr>
          <w:szCs w:val="30"/>
        </w:rPr>
        <w:t>建立疑似污染地块名单和污染地块名录，并动态更新。持续推进疑似污染地块土壤污染状况调查，结合企业用地调查结果，乐山市共13个污染地块，已进行公示，保障信息公开与污染地块安全利用，截至2020年底，乐山市污染地块安全利用率达100%。</w:t>
      </w:r>
    </w:p>
    <w:p>
      <w:pPr>
        <w:pStyle w:val="5"/>
        <w:ind w:firstLine="643"/>
        <w:rPr>
          <w:rFonts w:eastAsia="仿宋"/>
        </w:rPr>
      </w:pPr>
      <w:r>
        <w:rPr>
          <w:rFonts w:hint="eastAsia" w:eastAsia="仿宋"/>
        </w:rPr>
        <w:t>4.</w:t>
      </w:r>
      <w:r>
        <w:rPr>
          <w:rFonts w:hint="eastAsia" w:ascii="仿宋_GB2312" w:hAnsi="仿宋_GB2312" w:cs="仿宋_GB2312"/>
        </w:rPr>
        <w:t>试点示范有序推进</w:t>
      </w:r>
    </w:p>
    <w:p>
      <w:pPr>
        <w:ind w:firstLine="602"/>
        <w:rPr>
          <w:szCs w:val="30"/>
        </w:rPr>
      </w:pPr>
      <w:r>
        <w:rPr>
          <w:rFonts w:hint="eastAsia"/>
          <w:b/>
          <w:bCs/>
          <w:szCs w:val="30"/>
        </w:rPr>
        <w:t>顺利完成</w:t>
      </w:r>
      <w:r>
        <w:rPr>
          <w:b/>
          <w:bCs/>
          <w:szCs w:val="30"/>
        </w:rPr>
        <w:t>土壤污染治理与修复项目</w:t>
      </w:r>
      <w:r>
        <w:rPr>
          <w:rFonts w:hint="eastAsia"/>
          <w:b/>
          <w:bCs/>
          <w:szCs w:val="30"/>
        </w:rPr>
        <w:t>。</w:t>
      </w:r>
      <w:r>
        <w:rPr>
          <w:szCs w:val="30"/>
        </w:rPr>
        <w:t>开展犍为县农用地土壤污染治理与修复项目，根据前期调查区域监测评估，确定敖家镇、公平乡、新民镇及双溪乡的3729.4亩中轻度安全利用类农用地为修复区域。通过低积累作物种植、农艺调控、土壤酸碱调理、土壤钝化、超富集植物萃取及生态景观构建等措施开展受污染农用地修复治理后，轻度污染区敖家镇、公平乡耕作层土壤镉有效态含量减低了30%以上，双溪乡硝水村、新民镇耕作层农产品达标率大于95%，中度污染区域总镉低于《土壤环境质量 农用地土壤污染风险管控标准（试行）》规定的风险筛选值，均满足治理目标。</w:t>
      </w:r>
    </w:p>
    <w:p>
      <w:pPr>
        <w:ind w:firstLine="602"/>
        <w:rPr>
          <w:rFonts w:ascii="仿宋_GB2312" w:hAnsi="仿宋_GB2312" w:cs="仿宋_GB2312"/>
          <w:szCs w:val="30"/>
        </w:rPr>
      </w:pPr>
      <w:r>
        <w:rPr>
          <w:rFonts w:hint="eastAsia"/>
          <w:b/>
          <w:bCs/>
          <w:szCs w:val="30"/>
        </w:rPr>
        <w:t>积极开展</w:t>
      </w:r>
      <w:r>
        <w:rPr>
          <w:b/>
          <w:bCs/>
          <w:szCs w:val="30"/>
        </w:rPr>
        <w:t>先行示范区</w:t>
      </w:r>
      <w:r>
        <w:rPr>
          <w:rFonts w:hint="eastAsia"/>
          <w:b/>
          <w:bCs/>
          <w:szCs w:val="30"/>
        </w:rPr>
        <w:t>建设。</w:t>
      </w:r>
      <w:r>
        <w:rPr>
          <w:szCs w:val="30"/>
        </w:rPr>
        <w:t>犍为县成立土壤污染综合防治先行示范区建设领导小组，将先行示范区建设工作列入年度重点工作，落实各方责任；开展耕地土壤质量类别划定，并根据划定结果推行农用地分类管控机制，防范农用地污染；配合省厅开展企业用地调查，督促企业开展自行监测，完成疑似污染地块土壤污染状况调查，防范建设用地污染。率先开展土壤监测能力建设，搭建了一个集土壤检测中心、土壤数据集成中心、土壤研究中心三位一体</w:t>
      </w:r>
      <w:r>
        <w:rPr>
          <w:rFonts w:hint="eastAsia" w:ascii="仿宋_GB2312" w:hAnsi="仿宋_GB2312" w:cs="仿宋_GB2312"/>
          <w:szCs w:val="30"/>
        </w:rPr>
        <w:t>的平台，逐步推进土壤环境实验室向高质量、高水平发展。在此基础上，探索总结出“三能力”“二基础”“一协调”的可推广、可复制的试点经验，形成监管能力建设的“犍为模式”。</w:t>
      </w:r>
    </w:p>
    <w:p>
      <w:pPr>
        <w:pStyle w:val="5"/>
        <w:ind w:firstLine="643"/>
        <w:rPr>
          <w:rFonts w:eastAsia="仿宋"/>
        </w:rPr>
      </w:pPr>
      <w:r>
        <w:rPr>
          <w:rFonts w:hint="eastAsia" w:eastAsia="仿宋"/>
        </w:rPr>
        <w:t>5.</w:t>
      </w:r>
      <w:r>
        <w:rPr>
          <w:rFonts w:hint="eastAsia" w:ascii="仿宋_GB2312" w:hAnsi="仿宋_GB2312" w:cs="仿宋_GB2312"/>
        </w:rPr>
        <w:t>体制机制日益完善</w:t>
      </w:r>
    </w:p>
    <w:p>
      <w:pPr>
        <w:ind w:firstLine="602"/>
        <w:rPr>
          <w:kern w:val="0"/>
          <w:szCs w:val="30"/>
        </w:rPr>
      </w:pPr>
      <w:r>
        <w:rPr>
          <w:rFonts w:hint="eastAsia"/>
          <w:b/>
          <w:bCs/>
          <w:szCs w:val="30"/>
        </w:rPr>
        <w:t>部门协调机制日益完善。</w:t>
      </w:r>
      <w:r>
        <w:rPr>
          <w:szCs w:val="30"/>
        </w:rPr>
        <w:t>成立</w:t>
      </w:r>
      <w:r>
        <w:rPr>
          <w:rFonts w:hint="eastAsia"/>
          <w:szCs w:val="30"/>
        </w:rPr>
        <w:t>生态</w:t>
      </w:r>
      <w:r>
        <w:rPr>
          <w:szCs w:val="30"/>
        </w:rPr>
        <w:t>环境保护委员会，积极召开各项会议，动员部署全市污染防治攻</w:t>
      </w:r>
      <w:r>
        <w:rPr>
          <w:rFonts w:hint="eastAsia" w:ascii="仿宋_GB2312" w:hAnsi="仿宋_GB2312" w:cs="仿宋_GB2312"/>
          <w:szCs w:val="30"/>
        </w:rPr>
        <w:t>坚“八大战役”，重点关注土壤污染防治工作。初步建立建设用地环境管理机制，经信部门定</w:t>
      </w:r>
      <w:r>
        <w:rPr>
          <w:szCs w:val="30"/>
        </w:rPr>
        <w:t>期上报关闭搬迁企业名单，生态环境部门督促土地使用权人开展土壤污染状况调查，自然资源部门根据土壤污染状况确定土地规划用途。生态环境部门、自然资源部门密切配合，对疑似污染调查开展巡查，互通信息，依法查处再开发利用中的违法行为。生态环境部门、农业农村部门加强对农用地</w:t>
      </w:r>
      <w:r>
        <w:rPr>
          <w:rFonts w:hint="eastAsia"/>
          <w:szCs w:val="30"/>
          <w:lang w:eastAsia="zh-CN"/>
        </w:rPr>
        <w:t>周边</w:t>
      </w:r>
      <w:r>
        <w:rPr>
          <w:szCs w:val="30"/>
        </w:rPr>
        <w:t>污染企业的监管，</w:t>
      </w:r>
      <w:r>
        <w:rPr>
          <w:kern w:val="0"/>
          <w:szCs w:val="30"/>
        </w:rPr>
        <w:t>依法打击非法排污、超标排污，防范农用地污染。</w:t>
      </w:r>
    </w:p>
    <w:p>
      <w:pPr>
        <w:ind w:firstLine="602"/>
        <w:rPr>
          <w:szCs w:val="30"/>
        </w:rPr>
      </w:pPr>
      <w:r>
        <w:rPr>
          <w:rFonts w:hint="eastAsia" w:ascii="仿宋_GB2312" w:hAnsi="仿宋_GB2312" w:cs="仿宋_GB2312"/>
          <w:b/>
          <w:bCs/>
          <w:szCs w:val="30"/>
        </w:rPr>
        <w:t>积极拓宽资金投入渠道。</w:t>
      </w:r>
      <w:r>
        <w:rPr>
          <w:rFonts w:hint="eastAsia" w:ascii="仿宋_GB2312" w:hAnsi="仿宋_GB2312" w:cs="仿宋_GB2312"/>
          <w:szCs w:val="30"/>
        </w:rPr>
        <w:t>“十三五”期间，乐</w:t>
      </w:r>
      <w:r>
        <w:rPr>
          <w:szCs w:val="30"/>
        </w:rPr>
        <w:t>山市共申请4个中央土壤污染防治资金项目总计7457万元。为进一步加强资金投入，保障土壤污染防治工作，乐山市设立市级土壤污染防治专项资金</w:t>
      </w:r>
      <w:r>
        <w:rPr>
          <w:rFonts w:hint="eastAsia"/>
          <w:szCs w:val="30"/>
          <w:lang w:eastAsia="zh-CN"/>
        </w:rPr>
        <w:t>，</w:t>
      </w:r>
      <w:r>
        <w:rPr>
          <w:rFonts w:hint="eastAsia"/>
          <w:szCs w:val="30"/>
          <w:lang w:val="en-US" w:eastAsia="zh-CN"/>
        </w:rPr>
        <w:t>2019、</w:t>
      </w:r>
      <w:r>
        <w:rPr>
          <w:szCs w:val="30"/>
        </w:rPr>
        <w:t>2020年市本级财政</w:t>
      </w:r>
      <w:r>
        <w:rPr>
          <w:rFonts w:hint="eastAsia"/>
          <w:szCs w:val="30"/>
          <w:lang w:eastAsia="zh-CN"/>
        </w:rPr>
        <w:t>共预算</w:t>
      </w:r>
      <w:r>
        <w:rPr>
          <w:rFonts w:hint="eastAsia"/>
          <w:szCs w:val="30"/>
          <w:lang w:val="en-US" w:eastAsia="zh-CN"/>
        </w:rPr>
        <w:t>320</w:t>
      </w:r>
      <w:r>
        <w:rPr>
          <w:szCs w:val="30"/>
        </w:rPr>
        <w:t>万元开展</w:t>
      </w:r>
      <w:r>
        <w:rPr>
          <w:rFonts w:hint="eastAsia"/>
          <w:szCs w:val="30"/>
        </w:rPr>
        <w:t>土壤污染重点监管单位、工业园区、污水集中处理设施和固体废物处置设施周边土壤环境监督性监测</w:t>
      </w:r>
      <w:r>
        <w:rPr>
          <w:rFonts w:hint="eastAsia"/>
          <w:szCs w:val="30"/>
          <w:lang w:eastAsia="zh-CN"/>
        </w:rPr>
        <w:t>。</w:t>
      </w:r>
    </w:p>
    <w:p>
      <w:pPr>
        <w:ind w:firstLine="602"/>
        <w:rPr>
          <w:szCs w:val="30"/>
        </w:rPr>
      </w:pPr>
      <w:r>
        <w:rPr>
          <w:rFonts w:hint="eastAsia"/>
          <w:b/>
          <w:bCs/>
          <w:szCs w:val="30"/>
        </w:rPr>
        <w:t>宣传教育力度逐渐加强。</w:t>
      </w:r>
      <w:r>
        <w:rPr>
          <w:szCs w:val="30"/>
        </w:rPr>
        <w:t>乐山市将土壤污染防治法、土壤污染行动计划等土壤污染防治法律法规、政策纳入市政府常务会议、生态环境督察工作领导小组会议学习，自然资源、农业农村、生态环境等市级有关部门将土壤污染防治纳入部门党政、局务会、培训会学习贯彻，县（市、区）党委、政府及其所属相关部门也采取不同的形式积极学习贯彻土壤污染防治法律法规</w:t>
      </w:r>
      <w:r>
        <w:rPr>
          <w:rFonts w:hint="eastAsia" w:ascii="仿宋_GB2312" w:hAnsi="仿宋_GB2312" w:cs="仿宋_GB2312"/>
          <w:szCs w:val="30"/>
        </w:rPr>
        <w:t>和支撑。在“</w:t>
      </w:r>
      <w:r>
        <w:rPr>
          <w:szCs w:val="30"/>
        </w:rPr>
        <w:t>6.5</w:t>
      </w:r>
      <w:r>
        <w:rPr>
          <w:rFonts w:hint="eastAsia" w:ascii="仿宋_GB2312" w:hAnsi="仿宋_GB2312" w:cs="仿宋_GB2312"/>
          <w:szCs w:val="30"/>
        </w:rPr>
        <w:t>”世界环境日，发</w:t>
      </w:r>
      <w:r>
        <w:rPr>
          <w:szCs w:val="30"/>
        </w:rPr>
        <w:t>放宣传手册，开展土壤环境宣传教育。利用调研、督促、考核等机会对土壤环境重点监管企业及有重点监管尾矿库企业的主要负责人进行土壤污</w:t>
      </w:r>
      <w:r>
        <w:rPr>
          <w:rFonts w:hint="eastAsia" w:ascii="仿宋_GB2312" w:hAnsi="仿宋_GB2312" w:cs="仿宋_GB2312"/>
          <w:szCs w:val="30"/>
        </w:rPr>
        <w:t>染相关法律法规宣传教育。</w:t>
      </w:r>
    </w:p>
    <w:p>
      <w:pPr>
        <w:pStyle w:val="4"/>
        <w:ind w:firstLine="643"/>
      </w:pPr>
      <w:bookmarkStart w:id="7" w:name="_Toc31303"/>
      <w:r>
        <w:rPr>
          <w:rFonts w:hint="eastAsia"/>
        </w:rPr>
        <w:t>（三）主要问题</w:t>
      </w:r>
      <w:bookmarkEnd w:id="7"/>
    </w:p>
    <w:p>
      <w:pPr>
        <w:pStyle w:val="5"/>
        <w:ind w:firstLine="643"/>
        <w:rPr>
          <w:rFonts w:eastAsia="仿宋"/>
        </w:rPr>
      </w:pPr>
      <w:r>
        <w:rPr>
          <w:rFonts w:hint="eastAsia" w:eastAsia="仿宋"/>
        </w:rPr>
        <w:t>1.</w:t>
      </w:r>
      <w:r>
        <w:rPr>
          <w:rFonts w:hint="eastAsia" w:ascii="仿宋_GB2312" w:hAnsi="仿宋_GB2312" w:cs="仿宋_GB2312"/>
        </w:rPr>
        <w:t>部分区域土壤超标现象较为突出</w:t>
      </w:r>
    </w:p>
    <w:p>
      <w:pPr>
        <w:ind w:firstLine="600"/>
        <w:rPr>
          <w:szCs w:val="30"/>
        </w:rPr>
      </w:pPr>
      <w:r>
        <w:rPr>
          <w:szCs w:val="30"/>
        </w:rPr>
        <w:t>根据企业用地调查、</w:t>
      </w:r>
      <w:r>
        <w:rPr>
          <w:rFonts w:hint="eastAsia"/>
          <w:szCs w:val="30"/>
          <w:lang w:eastAsia="zh-CN"/>
        </w:rPr>
        <w:t>自行监测、</w:t>
      </w:r>
      <w:r>
        <w:rPr>
          <w:szCs w:val="30"/>
        </w:rPr>
        <w:t>监督性监测</w:t>
      </w:r>
      <w:r>
        <w:rPr>
          <w:rFonts w:hint="eastAsia"/>
          <w:szCs w:val="30"/>
          <w:lang w:eastAsia="zh-CN"/>
        </w:rPr>
        <w:t>、重点区域评估</w:t>
      </w:r>
      <w:r>
        <w:rPr>
          <w:szCs w:val="30"/>
        </w:rPr>
        <w:t>等结果，乐山市</w:t>
      </w:r>
      <w:r>
        <w:rPr>
          <w:rFonts w:hint="eastAsia"/>
          <w:szCs w:val="30"/>
          <w:lang w:eastAsia="zh-CN"/>
        </w:rPr>
        <w:t>部分</w:t>
      </w:r>
      <w:r>
        <w:rPr>
          <w:szCs w:val="30"/>
        </w:rPr>
        <w:t>在产企业地块、关闭搬迁地块</w:t>
      </w:r>
      <w:r>
        <w:rPr>
          <w:rFonts w:hint="eastAsia"/>
          <w:szCs w:val="30"/>
          <w:lang w:eastAsia="zh-CN"/>
        </w:rPr>
        <w:t>土壤</w:t>
      </w:r>
      <w:r>
        <w:rPr>
          <w:szCs w:val="30"/>
        </w:rPr>
        <w:t>超标，</w:t>
      </w:r>
      <w:r>
        <w:rPr>
          <w:rFonts w:hint="eastAsia"/>
          <w:szCs w:val="30"/>
          <w:lang w:eastAsia="zh-CN"/>
        </w:rPr>
        <w:t>且部分</w:t>
      </w:r>
      <w:r>
        <w:rPr>
          <w:szCs w:val="30"/>
        </w:rPr>
        <w:t>疑似污染地块土壤污染状况调查暂未结束</w:t>
      </w:r>
      <w:r>
        <w:rPr>
          <w:rFonts w:hint="eastAsia"/>
          <w:szCs w:val="30"/>
          <w:lang w:eastAsia="zh-CN"/>
        </w:rPr>
        <w:t>。</w:t>
      </w:r>
      <w:r>
        <w:rPr>
          <w:szCs w:val="30"/>
        </w:rPr>
        <w:t>从一系列调查结果来看，乐山市土壤污染风险</w:t>
      </w:r>
      <w:r>
        <w:rPr>
          <w:rFonts w:hint="eastAsia"/>
          <w:szCs w:val="30"/>
          <w:lang w:eastAsia="zh-CN"/>
        </w:rPr>
        <w:t>源类型多样</w:t>
      </w:r>
      <w:r>
        <w:rPr>
          <w:szCs w:val="30"/>
        </w:rPr>
        <w:t>，分布范围广，</w:t>
      </w:r>
      <w:r>
        <w:rPr>
          <w:rFonts w:hint="eastAsia"/>
          <w:szCs w:val="30"/>
          <w:lang w:eastAsia="zh-CN"/>
        </w:rPr>
        <w:t>辖区范围内存在不同程度的超标，</w:t>
      </w:r>
      <w:r>
        <w:rPr>
          <w:szCs w:val="30"/>
        </w:rPr>
        <w:t>污染成因</w:t>
      </w:r>
      <w:r>
        <w:rPr>
          <w:rFonts w:hint="eastAsia"/>
          <w:szCs w:val="30"/>
        </w:rPr>
        <w:t>暂未明晰</w:t>
      </w:r>
      <w:r>
        <w:rPr>
          <w:szCs w:val="30"/>
        </w:rPr>
        <w:t>，</w:t>
      </w:r>
      <w:r>
        <w:rPr>
          <w:rFonts w:hint="eastAsia"/>
          <w:szCs w:val="30"/>
        </w:rPr>
        <w:t>土壤修复管控工作开展难度较大</w:t>
      </w:r>
      <w:r>
        <w:rPr>
          <w:szCs w:val="30"/>
        </w:rPr>
        <w:t>。</w:t>
      </w:r>
    </w:p>
    <w:p>
      <w:pPr>
        <w:pStyle w:val="5"/>
        <w:ind w:firstLine="643"/>
      </w:pPr>
      <w:r>
        <w:rPr>
          <w:rFonts w:hint="eastAsia" w:eastAsia="仿宋"/>
        </w:rPr>
        <w:t>2.</w:t>
      </w:r>
      <w:r>
        <w:t>土壤污染状况暂未明晰</w:t>
      </w:r>
    </w:p>
    <w:p>
      <w:pPr>
        <w:ind w:firstLine="600"/>
        <w:rPr>
          <w:szCs w:val="30"/>
        </w:rPr>
      </w:pPr>
      <w:r>
        <w:rPr>
          <w:szCs w:val="30"/>
        </w:rPr>
        <w:t>农用地详查已基本掌握农用地土壤环境质量状况，但耕地土壤</w:t>
      </w:r>
      <w:r>
        <w:rPr>
          <w:rFonts w:hint="eastAsia"/>
          <w:szCs w:val="30"/>
          <w:lang w:eastAsia="zh-CN"/>
        </w:rPr>
        <w:t>污染</w:t>
      </w:r>
      <w:r>
        <w:rPr>
          <w:szCs w:val="30"/>
        </w:rPr>
        <w:t>成因分析和排查工作滞后。目前，乐山市</w:t>
      </w:r>
      <w:r>
        <w:rPr>
          <w:rFonts w:hint="eastAsia"/>
          <w:szCs w:val="30"/>
        </w:rPr>
        <w:t>除井研县以外区域均</w:t>
      </w:r>
      <w:r>
        <w:rPr>
          <w:szCs w:val="30"/>
        </w:rPr>
        <w:t>未开展受污染耕地成因分析。由于耕地土壤污染途径多样，涉及污水灌溉、大气干湿沉降、农用化学品施用等，加之土壤污染隐蔽性、累积性、滞后性和缺乏长时间系统性监测，现有调查成果难以支撑污染溯源、精准断源和土壤质量、污染含量变化趋势研判</w:t>
      </w:r>
      <w:r>
        <w:rPr>
          <w:rFonts w:hint="eastAsia"/>
          <w:szCs w:val="30"/>
        </w:rPr>
        <w:t>，可能会导致化肥、农药、灌溉污水等不断流入耕地，导致耕地生产力下降，农产品减产和质量下降，持续威胁人民群众的“菜篮子”。</w:t>
      </w:r>
    </w:p>
    <w:p>
      <w:pPr>
        <w:pStyle w:val="5"/>
        <w:ind w:firstLine="643"/>
        <w:rPr>
          <w:rFonts w:eastAsia="仿宋"/>
        </w:rPr>
      </w:pPr>
      <w:r>
        <w:rPr>
          <w:rFonts w:hint="eastAsia" w:eastAsia="仿宋"/>
        </w:rPr>
        <w:t>3.</w:t>
      </w:r>
      <w:r>
        <w:rPr>
          <w:rFonts w:hint="eastAsia" w:ascii="仿宋_GB2312" w:hAnsi="仿宋_GB2312" w:cs="仿宋_GB2312"/>
        </w:rPr>
        <w:t>污染源头监管难度较大</w:t>
      </w:r>
    </w:p>
    <w:p>
      <w:pPr>
        <w:ind w:firstLine="600"/>
        <w:rPr>
          <w:rFonts w:eastAsia="仿宋"/>
          <w:szCs w:val="30"/>
        </w:rPr>
      </w:pPr>
      <w:r>
        <w:rPr>
          <w:szCs w:val="30"/>
        </w:rPr>
        <w:t>根据企业用地调查，乐山市在产企业</w:t>
      </w:r>
      <w:r>
        <w:rPr>
          <w:rFonts w:hint="eastAsia"/>
          <w:szCs w:val="30"/>
          <w:lang w:eastAsia="zh-CN"/>
        </w:rPr>
        <w:t>、</w:t>
      </w:r>
      <w:r>
        <w:rPr>
          <w:szCs w:val="30"/>
        </w:rPr>
        <w:t>关闭搬迁地块</w:t>
      </w:r>
      <w:r>
        <w:rPr>
          <w:rFonts w:hint="eastAsia"/>
          <w:szCs w:val="30"/>
          <w:lang w:eastAsia="zh-CN"/>
        </w:rPr>
        <w:t>、</w:t>
      </w:r>
      <w:r>
        <w:rPr>
          <w:szCs w:val="30"/>
        </w:rPr>
        <w:t>尾矿库</w:t>
      </w:r>
      <w:r>
        <w:rPr>
          <w:rFonts w:hint="eastAsia"/>
          <w:szCs w:val="30"/>
          <w:lang w:eastAsia="zh-CN"/>
        </w:rPr>
        <w:t>以及</w:t>
      </w:r>
      <w:r>
        <w:rPr>
          <w:szCs w:val="30"/>
        </w:rPr>
        <w:t>填埋场及焚烧厂</w:t>
      </w:r>
      <w:r>
        <w:rPr>
          <w:rFonts w:hint="eastAsia"/>
          <w:szCs w:val="30"/>
          <w:lang w:eastAsia="zh-CN"/>
        </w:rPr>
        <w:t>等土壤风险源点位多</w:t>
      </w:r>
      <w:r>
        <w:rPr>
          <w:szCs w:val="30"/>
        </w:rPr>
        <w:t>，企业行业类别较多，涉及金属表面处理、化学农药制造、皮革鞣制加工等多个行业。岷江两岸盐磷化工企业问题突出，企业用地调查地块超标率高，周边存在农用地的企业多。部分区域中大型化工企业较多，部分小微规模企业仍存在设施老化、危险化学品泄漏等风险，具有一定土壤污染隐患，地方管理难度较大。</w:t>
      </w:r>
    </w:p>
    <w:p>
      <w:pPr>
        <w:pStyle w:val="5"/>
        <w:ind w:firstLine="643"/>
        <w:rPr>
          <w:rFonts w:eastAsia="仿宋"/>
        </w:rPr>
      </w:pPr>
      <w:r>
        <w:rPr>
          <w:rFonts w:hint="eastAsia" w:eastAsia="仿宋"/>
        </w:rPr>
        <w:t>4.</w:t>
      </w:r>
      <w:r>
        <w:rPr>
          <w:rFonts w:hint="eastAsia" w:ascii="仿宋_GB2312" w:hAnsi="仿宋_GB2312" w:cs="仿宋_GB2312"/>
        </w:rPr>
        <w:t>监管支撑能力仍待提升</w:t>
      </w:r>
    </w:p>
    <w:p>
      <w:pPr>
        <w:ind w:firstLine="600"/>
        <w:rPr>
          <w:rFonts w:eastAsia="仿宋"/>
          <w:szCs w:val="30"/>
        </w:rPr>
      </w:pPr>
      <w:r>
        <w:rPr>
          <w:szCs w:val="30"/>
        </w:rPr>
        <w:t>相比大气和水，土壤污染防治工作开始较晚，土壤环境监管能力相对薄弱，土壤环境管理、监测、执法人员和设备较为缺乏，现代化科技手段应用不足。联动协调机制也还需进一步完善，土壤污染防治科研能力和土壤环保产业还不强，土壤污染治理与修复还处于起步阶段。</w:t>
      </w:r>
    </w:p>
    <w:p>
      <w:pPr>
        <w:pStyle w:val="5"/>
        <w:ind w:firstLine="643"/>
        <w:rPr>
          <w:rFonts w:eastAsia="仿宋"/>
        </w:rPr>
      </w:pPr>
      <w:r>
        <w:rPr>
          <w:rFonts w:hint="eastAsia" w:eastAsia="仿宋"/>
        </w:rPr>
        <w:t>5.</w:t>
      </w:r>
      <w:r>
        <w:rPr>
          <w:rFonts w:hint="eastAsia" w:ascii="仿宋_GB2312" w:hAnsi="仿宋_GB2312" w:cs="仿宋_GB2312"/>
        </w:rPr>
        <w:t>财政资金压力较大</w:t>
      </w:r>
    </w:p>
    <w:p>
      <w:pPr>
        <w:ind w:firstLine="600"/>
        <w:rPr>
          <w:rFonts w:eastAsia="仿宋"/>
          <w:szCs w:val="30"/>
        </w:rPr>
      </w:pPr>
      <w:r>
        <w:rPr>
          <w:szCs w:val="30"/>
        </w:rPr>
        <w:t>污染地块治理修复资金需求量较大，中央土壤污染防治专项资金对在产企业关闭地块不予支持。若要开展治理修复，企业资金短缺，整治资金缺口大。另外，部分需要开展隐患排查整改的在产企业难以申请土壤专项资金，仅靠企业自身投入，部分企业资金困难，缺口较大。土壤污染防治工作资金需求量大，市县级财政资金压力较大。</w:t>
      </w:r>
    </w:p>
    <w:p>
      <w:pPr>
        <w:pStyle w:val="4"/>
        <w:ind w:firstLine="643"/>
      </w:pPr>
      <w:bookmarkStart w:id="8" w:name="_Toc30354"/>
      <w:r>
        <w:rPr>
          <w:rFonts w:hint="eastAsia"/>
        </w:rPr>
        <w:t>（四）形势与挑战</w:t>
      </w:r>
      <w:bookmarkEnd w:id="8"/>
    </w:p>
    <w:p>
      <w:pPr>
        <w:ind w:firstLine="600"/>
        <w:rPr>
          <w:szCs w:val="30"/>
        </w:rPr>
      </w:pPr>
      <w:r>
        <w:rPr>
          <w:rFonts w:hint="eastAsia" w:ascii="仿宋_GB2312" w:hAnsi="仿宋_GB2312" w:cs="仿宋_GB2312"/>
          <w:szCs w:val="30"/>
        </w:rPr>
        <w:t>“十四五”期</w:t>
      </w:r>
      <w:r>
        <w:rPr>
          <w:szCs w:val="30"/>
        </w:rPr>
        <w:t>间，《建设用地土壤污染风险管控和修复从业单位和个人执业情况信用记录管理办法（试行）》、《四川省土壤污染防治条例》、《四川省暂不开发利用污染地块风险管控工作指南》等各项国家级省级标准指南的出台，将为依法治污提供法律法规保障；监测预警等技术和装备的不断发展和完善，将会为科学治污提供技术保障；中央土壤污染防治资金及省级土壤污染防治资金的下达，社会资金的投入，将会为精准治污提供资金保障。</w:t>
      </w:r>
    </w:p>
    <w:p>
      <w:pPr>
        <w:ind w:firstLine="600"/>
        <w:rPr>
          <w:rFonts w:eastAsia="仿宋"/>
          <w:szCs w:val="30"/>
        </w:rPr>
      </w:pPr>
      <w:r>
        <w:rPr>
          <w:szCs w:val="30"/>
        </w:rPr>
        <w:t>但是，乐山市存在部分关闭时间长、使用权人或者污染者已破产的地块，调查的责任短期内无法落实，只能由地方人民政府负责，容易导致疑似污染地块和污染地块调查进展较为缓慢，污染地块后期管控也会存在诸多问题。五通桥区中大型化工企业较多、周边存在农用地的企业多，区域环境污染总量较高，环境承载压力较大，</w:t>
      </w:r>
      <w:r>
        <w:rPr>
          <w:rFonts w:hint="eastAsia"/>
          <w:szCs w:val="30"/>
          <w:lang w:eastAsia="zh-CN"/>
        </w:rPr>
        <w:t>峨边</w:t>
      </w:r>
      <w:r>
        <w:rPr>
          <w:szCs w:val="30"/>
        </w:rPr>
        <w:t>县与金口河</w:t>
      </w:r>
      <w:r>
        <w:rPr>
          <w:rFonts w:hint="eastAsia"/>
          <w:szCs w:val="30"/>
          <w:lang w:eastAsia="zh-CN"/>
        </w:rPr>
        <w:t>区</w:t>
      </w:r>
      <w:r>
        <w:rPr>
          <w:szCs w:val="30"/>
        </w:rPr>
        <w:t>受地形影响，大气污染物难以扩散，容易发生沉降对土壤造成污染。部分企业仍存在土壤污染防治意识不强、环境管理水平不高的问题，加之土壤污染治理修复技术不成熟、治理资金不足、投融资能力较低，在遏制增量、控制变量、减少存量等方面还存在巨大挑战。</w:t>
      </w:r>
    </w:p>
    <w:p>
      <w:pPr>
        <w:ind w:firstLine="600"/>
        <w:rPr>
          <w:szCs w:val="30"/>
        </w:rPr>
      </w:pPr>
      <w:r>
        <w:rPr>
          <w:rFonts w:hint="eastAsia"/>
          <w:szCs w:val="30"/>
        </w:rPr>
        <w:br w:type="page"/>
      </w:r>
    </w:p>
    <w:p>
      <w:pPr>
        <w:pStyle w:val="3"/>
        <w:ind w:firstLine="640"/>
      </w:pPr>
      <w:bookmarkStart w:id="9" w:name="_Toc6920"/>
      <w:r>
        <w:rPr>
          <w:rFonts w:hint="eastAsia"/>
        </w:rPr>
        <w:t>二、总体要求</w:t>
      </w:r>
      <w:bookmarkEnd w:id="9"/>
    </w:p>
    <w:p>
      <w:pPr>
        <w:pStyle w:val="4"/>
        <w:ind w:firstLine="643"/>
      </w:pPr>
      <w:bookmarkStart w:id="10" w:name="_Toc19471"/>
      <w:r>
        <w:rPr>
          <w:rFonts w:hint="eastAsia"/>
        </w:rPr>
        <w:t>（一）指导思想</w:t>
      </w:r>
      <w:bookmarkEnd w:id="10"/>
    </w:p>
    <w:p>
      <w:pPr>
        <w:ind w:firstLine="600"/>
        <w:rPr>
          <w:szCs w:val="30"/>
        </w:rPr>
      </w:pPr>
      <w:r>
        <w:rPr>
          <w:szCs w:val="30"/>
        </w:rPr>
        <w:t>以习近平新时代中国特色社会主义思想为指导，全面贯彻党的十九大和十九届二中、三中、四中、五中全会精神，深入贯彻习近平生态文明思想和习近平总书记对四川工作系列重要指示精神，把握新发展阶段，贯彻</w:t>
      </w:r>
      <w:r>
        <w:rPr>
          <w:rFonts w:hint="eastAsia" w:ascii="仿宋_GB2312" w:hAnsi="仿宋_GB2312" w:cs="仿宋_GB2312"/>
          <w:szCs w:val="30"/>
        </w:rPr>
        <w:t>新发展理念，构建新发展格局，紧紧围绕“一干多支，五区协同”“四向拓展、全域开放”“筑牢长江上游生态屏障”战略部署，以保障老百姓“吃得放心”和“住得安心”为出发点，按照预防为主、保护优先、分类管理、风险管控、污染担责、公众参与的原则，推动土壤资源永续利用</w:t>
      </w:r>
      <w:r>
        <w:rPr>
          <w:szCs w:val="30"/>
        </w:rPr>
        <w:t>，为建设美丽乐山、美丽四川提供良好的土壤环境保障。</w:t>
      </w:r>
    </w:p>
    <w:p>
      <w:pPr>
        <w:pStyle w:val="4"/>
        <w:ind w:firstLine="643"/>
      </w:pPr>
      <w:bookmarkStart w:id="11" w:name="_Toc24177"/>
      <w:r>
        <w:rPr>
          <w:rFonts w:hint="eastAsia"/>
        </w:rPr>
        <w:t>（二）基本原则</w:t>
      </w:r>
      <w:bookmarkEnd w:id="11"/>
    </w:p>
    <w:p>
      <w:pPr>
        <w:ind w:firstLine="602"/>
        <w:rPr>
          <w:szCs w:val="30"/>
        </w:rPr>
      </w:pPr>
      <w:r>
        <w:rPr>
          <w:b/>
          <w:bCs/>
          <w:szCs w:val="30"/>
        </w:rPr>
        <w:t>预防为主，保护优先。</w:t>
      </w:r>
      <w:r>
        <w:rPr>
          <w:szCs w:val="30"/>
        </w:rPr>
        <w:t>对未污染的农用地实行优先保护，将符合条件的优先保护类耕地划为永久基本农田，实行严格保护，确保其面积不减少、土壤环境质量不下降。严格控制在优先保护类耕地集中区域新建有色金属冶炼、石油加工、化工、电镀、制革等行业企业，防止新增污染。发</w:t>
      </w:r>
      <w:r>
        <w:rPr>
          <w:rFonts w:hint="eastAsia" w:ascii="仿宋_GB2312" w:hAnsi="仿宋_GB2312" w:cs="仿宋_GB2312"/>
          <w:szCs w:val="30"/>
        </w:rPr>
        <w:t>挥“三线一单”等空间</w:t>
      </w:r>
      <w:r>
        <w:rPr>
          <w:szCs w:val="30"/>
        </w:rPr>
        <w:t>规划硬约束，实现土壤保护优先。</w:t>
      </w:r>
    </w:p>
    <w:p>
      <w:pPr>
        <w:ind w:firstLine="602"/>
        <w:rPr>
          <w:szCs w:val="30"/>
        </w:rPr>
      </w:pPr>
      <w:r>
        <w:rPr>
          <w:b/>
          <w:bCs/>
          <w:szCs w:val="30"/>
        </w:rPr>
        <w:t>分类管控，安全利用。</w:t>
      </w:r>
      <w:r>
        <w:rPr>
          <w:szCs w:val="30"/>
        </w:rPr>
        <w:t>深化农用地土壤污染详查成果运用，在农用地土壤环境质量划分基础上，探索农用地安全利用模式，落实农用地分类管控要求。进一步深化土地开发利用土壤环境管理要求，持续推动建设用地土壤环境管理纳入城市规划，保证污染地块安全利用。</w:t>
      </w:r>
    </w:p>
    <w:p>
      <w:pPr>
        <w:ind w:firstLine="602"/>
        <w:rPr>
          <w:szCs w:val="30"/>
        </w:rPr>
      </w:pPr>
      <w:r>
        <w:rPr>
          <w:b/>
          <w:bCs/>
          <w:szCs w:val="30"/>
        </w:rPr>
        <w:t>风险管控，因地制宜。</w:t>
      </w:r>
      <w:r>
        <w:rPr>
          <w:szCs w:val="30"/>
        </w:rPr>
        <w:t>充分考虑土壤污染治理与修复的复杂性，以农用地和污染地块为重点，强化风险管控，提高防治成效，按照“应防则防、应控则控，应修则修”的思路，坚决守住影响农产品质量和人居环境安全的土壤环境质量底线，有效防范风险。</w:t>
      </w:r>
    </w:p>
    <w:p>
      <w:pPr>
        <w:ind w:firstLine="602"/>
        <w:rPr>
          <w:szCs w:val="30"/>
        </w:rPr>
      </w:pPr>
      <w:r>
        <w:rPr>
          <w:b/>
          <w:bCs/>
          <w:szCs w:val="30"/>
        </w:rPr>
        <w:t>依靠科技，提升能力。</w:t>
      </w:r>
      <w:r>
        <w:rPr>
          <w:szCs w:val="30"/>
        </w:rPr>
        <w:t>加大科技对土壤污染防治的支撑力度，增强创新能力，突出问题导向，兼顾目标导向。强化土壤成因分析，积极探索农用地、污染地块治理修复实用技术，发展土壤污染防治产业，培育乐山土壤污染防治和治理修复人才队伍，提升土壤污染防治能力。</w:t>
      </w:r>
    </w:p>
    <w:p>
      <w:pPr>
        <w:ind w:firstLine="602"/>
        <w:rPr>
          <w:szCs w:val="30"/>
        </w:rPr>
      </w:pPr>
      <w:r>
        <w:rPr>
          <w:b/>
          <w:bCs/>
          <w:szCs w:val="30"/>
        </w:rPr>
        <w:t>重点突出，统筹兼顾。</w:t>
      </w:r>
      <w:r>
        <w:rPr>
          <w:szCs w:val="30"/>
        </w:rPr>
        <w:t>以污染耕地和污染地块为重点，突出重点区域、行业和污染物，强化土壤污染管控和修复。统筹生态环境保护与经济社会发展，针对耕地和建设用地的主要污染物优先开展治理与修复工作，探索建立适合本区域条件的土壤污染治理修复技术体系。</w:t>
      </w:r>
    </w:p>
    <w:p>
      <w:pPr>
        <w:ind w:firstLine="602"/>
        <w:rPr>
          <w:szCs w:val="30"/>
        </w:rPr>
      </w:pPr>
      <w:r>
        <w:rPr>
          <w:b/>
          <w:bCs/>
          <w:szCs w:val="30"/>
        </w:rPr>
        <w:t>政府主导，社会共治。</w:t>
      </w:r>
      <w:r>
        <w:rPr>
          <w:szCs w:val="30"/>
        </w:rPr>
        <w:t>加强组织协调，建立健全多部门协调联动机制，完善政策措施，明确各方责任，坚持激励与约束并举，政府与市场“两手发力”，动员全社会积极参与，形成政府、企业、公众共治的土壤治理体系。</w:t>
      </w:r>
    </w:p>
    <w:p>
      <w:pPr>
        <w:pStyle w:val="4"/>
        <w:ind w:firstLine="643"/>
      </w:pPr>
      <w:bookmarkStart w:id="12" w:name="_Toc29912"/>
      <w:r>
        <w:rPr>
          <w:rFonts w:hint="eastAsia"/>
        </w:rPr>
        <w:t>（三）目标指标</w:t>
      </w:r>
      <w:bookmarkEnd w:id="12"/>
    </w:p>
    <w:p>
      <w:pPr>
        <w:ind w:firstLine="600"/>
        <w:rPr>
          <w:szCs w:val="30"/>
        </w:rPr>
      </w:pPr>
      <w:r>
        <w:rPr>
          <w:szCs w:val="30"/>
        </w:rPr>
        <w:t>到2025年，土壤污染源得到基本控制，土壤环境质量总体保持稳定，局部有所改善，农用地和建设用地土壤环境安全得到进一步保障，土壤环境风险得到进一步管控；到2035年，土壤环境质量持续稳定，土壤环境风险得到有效管控。</w:t>
      </w:r>
    </w:p>
    <w:p>
      <w:pPr>
        <w:ind w:firstLine="0" w:firstLineChars="0"/>
        <w:jc w:val="center"/>
        <w:rPr>
          <w:rFonts w:eastAsia="黑体"/>
          <w:sz w:val="24"/>
        </w:rPr>
      </w:pPr>
      <w:r>
        <w:rPr>
          <w:rFonts w:eastAsia="黑体"/>
          <w:sz w:val="24"/>
        </w:rPr>
        <w:t>表</w:t>
      </w:r>
      <w:r>
        <w:rPr>
          <w:rFonts w:hint="eastAsia" w:eastAsia="黑体"/>
          <w:sz w:val="24"/>
        </w:rPr>
        <w:t>2</w:t>
      </w:r>
      <w:r>
        <w:rPr>
          <w:rFonts w:eastAsia="黑体"/>
          <w:sz w:val="24"/>
        </w:rPr>
        <w:t>-</w:t>
      </w:r>
      <w:r>
        <w:rPr>
          <w:rFonts w:hint="eastAsia" w:eastAsia="黑体"/>
          <w:sz w:val="24"/>
        </w:rPr>
        <w:t>1土壤污染防治指标表</w:t>
      </w:r>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3342"/>
        <w:gridCol w:w="1681"/>
        <w:gridCol w:w="1493"/>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Align w:val="center"/>
          </w:tcPr>
          <w:p>
            <w:pPr>
              <w:spacing w:line="300" w:lineRule="auto"/>
              <w:ind w:firstLine="0" w:firstLineChars="0"/>
              <w:jc w:val="center"/>
              <w:rPr>
                <w:rFonts w:eastAsia="宋体"/>
                <w:b/>
                <w:bCs/>
                <w:sz w:val="21"/>
                <w:szCs w:val="21"/>
              </w:rPr>
            </w:pPr>
            <w:r>
              <w:rPr>
                <w:rFonts w:hint="eastAsia"/>
                <w:b/>
                <w:bCs/>
                <w:sz w:val="21"/>
                <w:szCs w:val="21"/>
              </w:rPr>
              <w:t>序号</w:t>
            </w:r>
          </w:p>
        </w:tc>
        <w:tc>
          <w:tcPr>
            <w:tcW w:w="1961" w:type="pct"/>
            <w:vAlign w:val="center"/>
          </w:tcPr>
          <w:p>
            <w:pPr>
              <w:spacing w:line="300" w:lineRule="auto"/>
              <w:ind w:firstLine="0" w:firstLineChars="0"/>
              <w:jc w:val="center"/>
              <w:rPr>
                <w:rFonts w:eastAsia="宋体"/>
                <w:b/>
                <w:bCs/>
                <w:sz w:val="21"/>
                <w:szCs w:val="21"/>
              </w:rPr>
            </w:pPr>
            <w:r>
              <w:rPr>
                <w:rFonts w:hint="eastAsia"/>
                <w:b/>
                <w:bCs/>
                <w:sz w:val="21"/>
                <w:szCs w:val="21"/>
              </w:rPr>
              <w:t>指标</w:t>
            </w:r>
          </w:p>
        </w:tc>
        <w:tc>
          <w:tcPr>
            <w:tcW w:w="986" w:type="pct"/>
            <w:vAlign w:val="center"/>
          </w:tcPr>
          <w:p>
            <w:pPr>
              <w:spacing w:line="300" w:lineRule="auto"/>
              <w:ind w:firstLine="0" w:firstLineChars="0"/>
              <w:jc w:val="center"/>
              <w:rPr>
                <w:rFonts w:eastAsia="宋体"/>
                <w:b/>
                <w:bCs/>
                <w:sz w:val="21"/>
                <w:szCs w:val="21"/>
              </w:rPr>
            </w:pPr>
            <w:r>
              <w:rPr>
                <w:rFonts w:hint="eastAsia"/>
                <w:b/>
                <w:bCs/>
                <w:sz w:val="21"/>
                <w:szCs w:val="21"/>
              </w:rPr>
              <w:t>20</w:t>
            </w:r>
            <w:r>
              <w:rPr>
                <w:rFonts w:hint="eastAsia"/>
                <w:b/>
                <w:bCs/>
                <w:sz w:val="21"/>
                <w:szCs w:val="21"/>
                <w:lang w:val="en-US" w:eastAsia="zh-CN"/>
              </w:rPr>
              <w:t>20</w:t>
            </w:r>
            <w:r>
              <w:rPr>
                <w:rFonts w:hint="eastAsia"/>
                <w:b/>
                <w:bCs/>
                <w:sz w:val="21"/>
                <w:szCs w:val="21"/>
              </w:rPr>
              <w:t>年目标</w:t>
            </w:r>
          </w:p>
        </w:tc>
        <w:tc>
          <w:tcPr>
            <w:tcW w:w="876" w:type="pct"/>
            <w:vAlign w:val="center"/>
          </w:tcPr>
          <w:p>
            <w:pPr>
              <w:spacing w:line="300" w:lineRule="auto"/>
              <w:ind w:firstLine="0" w:firstLineChars="0"/>
              <w:jc w:val="center"/>
              <w:rPr>
                <w:rFonts w:eastAsia="宋体"/>
                <w:b/>
                <w:bCs/>
                <w:sz w:val="21"/>
                <w:szCs w:val="21"/>
              </w:rPr>
            </w:pPr>
            <w:r>
              <w:rPr>
                <w:rFonts w:hint="eastAsia"/>
                <w:b/>
                <w:bCs/>
                <w:sz w:val="21"/>
                <w:szCs w:val="21"/>
              </w:rPr>
              <w:t>2035年目标</w:t>
            </w:r>
          </w:p>
        </w:tc>
        <w:tc>
          <w:tcPr>
            <w:tcW w:w="739" w:type="pct"/>
            <w:vAlign w:val="center"/>
          </w:tcPr>
          <w:p>
            <w:pPr>
              <w:spacing w:line="300" w:lineRule="auto"/>
              <w:ind w:firstLine="0" w:firstLineChars="0"/>
              <w:jc w:val="center"/>
              <w:rPr>
                <w:b/>
                <w:bCs/>
                <w:sz w:val="21"/>
                <w:szCs w:val="21"/>
              </w:rPr>
            </w:pPr>
            <w:r>
              <w:rPr>
                <w:rFonts w:hint="eastAsia"/>
                <w:b/>
                <w:bCs/>
                <w:sz w:val="21"/>
                <w:szCs w:val="21"/>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436" w:type="pct"/>
            <w:vAlign w:val="center"/>
          </w:tcPr>
          <w:p>
            <w:pPr>
              <w:overflowPunct w:val="0"/>
              <w:topLinePunct/>
              <w:adjustRightInd w:val="0"/>
              <w:spacing w:line="30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1961" w:type="pct"/>
            <w:vAlign w:val="center"/>
          </w:tcPr>
          <w:p>
            <w:pPr>
              <w:overflowPunct w:val="0"/>
              <w:topLinePunct/>
              <w:adjustRightInd w:val="0"/>
              <w:spacing w:line="30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受污染耕地安全利用率</w:t>
            </w:r>
          </w:p>
        </w:tc>
        <w:tc>
          <w:tcPr>
            <w:tcW w:w="986" w:type="pct"/>
            <w:vAlign w:val="center"/>
          </w:tcPr>
          <w:p>
            <w:pPr>
              <w:overflowPunct w:val="0"/>
              <w:topLinePunct/>
              <w:adjustRightInd w:val="0"/>
              <w:spacing w:line="300" w:lineRule="auto"/>
              <w:ind w:firstLine="0" w:firstLineChars="0"/>
              <w:jc w:val="center"/>
              <w:rPr>
                <w:rFonts w:hint="default" w:ascii="Times New Roman" w:hAnsi="Times New Roman" w:eastAsia="仿宋_GB2312" w:cs="Times New Roman"/>
                <w:sz w:val="24"/>
                <w:szCs w:val="24"/>
                <w:lang w:eastAsia="zh-CN"/>
              </w:rPr>
            </w:pPr>
          </w:p>
        </w:tc>
        <w:tc>
          <w:tcPr>
            <w:tcW w:w="876" w:type="pct"/>
            <w:vAlign w:val="center"/>
          </w:tcPr>
          <w:p>
            <w:pPr>
              <w:overflowPunct w:val="0"/>
              <w:topLinePunct/>
              <w:adjustRightInd w:val="0"/>
              <w:spacing w:line="300" w:lineRule="auto"/>
              <w:ind w:firstLine="0" w:firstLineChars="0"/>
              <w:jc w:val="center"/>
              <w:rPr>
                <w:rFonts w:hint="default" w:ascii="Times New Roman" w:hAnsi="Times New Roman" w:eastAsia="仿宋_GB2312" w:cs="Times New Roman"/>
                <w:sz w:val="24"/>
                <w:szCs w:val="24"/>
                <w:lang w:val="en-US" w:eastAsia="zh-CN"/>
              </w:rPr>
            </w:pPr>
            <w:r>
              <w:rPr>
                <w:rFonts w:hint="eastAsia" w:cs="Times New Roman"/>
                <w:sz w:val="24"/>
                <w:szCs w:val="24"/>
                <w:lang w:val="en-US" w:eastAsia="zh-CN"/>
              </w:rPr>
              <w:t>95</w:t>
            </w:r>
            <w:r>
              <w:rPr>
                <w:rFonts w:hint="default" w:ascii="Times New Roman" w:hAnsi="Times New Roman" w:eastAsia="仿宋_GB2312" w:cs="Times New Roman"/>
                <w:sz w:val="24"/>
                <w:szCs w:val="24"/>
                <w:lang w:val="en-US" w:eastAsia="zh-CN"/>
              </w:rPr>
              <w:t>%</w:t>
            </w:r>
          </w:p>
        </w:tc>
        <w:tc>
          <w:tcPr>
            <w:tcW w:w="739" w:type="pct"/>
            <w:vAlign w:val="center"/>
          </w:tcPr>
          <w:p>
            <w:pPr>
              <w:overflowPunct w:val="0"/>
              <w:topLinePunct/>
              <w:adjustRightInd w:val="0"/>
              <w:spacing w:line="30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36" w:type="pct"/>
            <w:vAlign w:val="center"/>
          </w:tcPr>
          <w:p>
            <w:pPr>
              <w:overflowPunct w:val="0"/>
              <w:topLinePunct/>
              <w:adjustRightInd w:val="0"/>
              <w:spacing w:line="30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2</w:t>
            </w:r>
          </w:p>
        </w:tc>
        <w:tc>
          <w:tcPr>
            <w:tcW w:w="1961" w:type="pct"/>
            <w:vAlign w:val="center"/>
          </w:tcPr>
          <w:p>
            <w:pPr>
              <w:overflowPunct w:val="0"/>
              <w:topLinePunct/>
              <w:adjustRightInd w:val="0"/>
              <w:spacing w:line="30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重点建设用地安全利用</w:t>
            </w:r>
          </w:p>
        </w:tc>
        <w:tc>
          <w:tcPr>
            <w:tcW w:w="986" w:type="pct"/>
            <w:vAlign w:val="center"/>
          </w:tcPr>
          <w:p>
            <w:pPr>
              <w:overflowPunct w:val="0"/>
              <w:topLinePunct/>
              <w:adjustRightInd w:val="0"/>
              <w:spacing w:line="300" w:lineRule="auto"/>
              <w:ind w:firstLine="0" w:firstLineChars="0"/>
              <w:jc w:val="center"/>
              <w:rPr>
                <w:rFonts w:hint="default" w:ascii="Times New Roman" w:hAnsi="Times New Roman" w:eastAsia="仿宋_GB2312" w:cs="Times New Roman"/>
                <w:sz w:val="24"/>
                <w:szCs w:val="24"/>
                <w:lang w:eastAsia="zh-CN"/>
              </w:rPr>
            </w:pPr>
          </w:p>
        </w:tc>
        <w:tc>
          <w:tcPr>
            <w:tcW w:w="876" w:type="pct"/>
            <w:vAlign w:val="center"/>
          </w:tcPr>
          <w:p>
            <w:pPr>
              <w:overflowPunct w:val="0"/>
              <w:topLinePunct/>
              <w:adjustRightInd w:val="0"/>
              <w:spacing w:line="30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完成国、省下达目标</w:t>
            </w:r>
          </w:p>
        </w:tc>
        <w:tc>
          <w:tcPr>
            <w:tcW w:w="739" w:type="pct"/>
            <w:vAlign w:val="center"/>
          </w:tcPr>
          <w:p>
            <w:pPr>
              <w:overflowPunct w:val="0"/>
              <w:topLinePunct/>
              <w:adjustRightInd w:val="0"/>
              <w:spacing w:line="30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Align w:val="center"/>
          </w:tcPr>
          <w:p>
            <w:pPr>
              <w:overflowPunct w:val="0"/>
              <w:topLinePunct/>
              <w:adjustRightInd w:val="0"/>
              <w:spacing w:line="300" w:lineRule="auto"/>
              <w:ind w:firstLine="0" w:firstLineChars="0"/>
              <w:jc w:val="center"/>
              <w:rPr>
                <w:rFonts w:hint="eastAsia" w:ascii="Times New Roman" w:hAnsi="Times New Roman" w:eastAsia="仿宋_GB2312" w:cs="Times New Roman"/>
                <w:kern w:val="0"/>
                <w:sz w:val="24"/>
                <w:szCs w:val="24"/>
                <w:lang w:val="en-US" w:eastAsia="zh-CN"/>
              </w:rPr>
            </w:pPr>
            <w:r>
              <w:rPr>
                <w:rFonts w:hint="eastAsia" w:cs="Times New Roman"/>
                <w:kern w:val="0"/>
                <w:sz w:val="24"/>
                <w:szCs w:val="24"/>
                <w:lang w:val="en-US" w:eastAsia="zh-CN"/>
              </w:rPr>
              <w:t>3</w:t>
            </w:r>
          </w:p>
        </w:tc>
        <w:tc>
          <w:tcPr>
            <w:tcW w:w="1961" w:type="pct"/>
            <w:vAlign w:val="center"/>
          </w:tcPr>
          <w:p>
            <w:pPr>
              <w:overflowPunct w:val="0"/>
              <w:topLinePunct/>
              <w:adjustRightInd w:val="0"/>
              <w:spacing w:line="30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危险废物安全处置率</w:t>
            </w:r>
          </w:p>
        </w:tc>
        <w:tc>
          <w:tcPr>
            <w:tcW w:w="986" w:type="pct"/>
            <w:vAlign w:val="center"/>
          </w:tcPr>
          <w:p>
            <w:pPr>
              <w:overflowPunct w:val="0"/>
              <w:topLinePunct/>
              <w:adjustRightInd w:val="0"/>
              <w:spacing w:line="300" w:lineRule="auto"/>
              <w:ind w:firstLine="0" w:firstLineChars="0"/>
              <w:jc w:val="center"/>
              <w:rPr>
                <w:rFonts w:hint="default" w:cs="Times New Roman"/>
                <w:sz w:val="24"/>
                <w:szCs w:val="24"/>
                <w:lang w:val="en-US" w:eastAsia="zh-CN"/>
              </w:rPr>
            </w:pPr>
          </w:p>
        </w:tc>
        <w:tc>
          <w:tcPr>
            <w:tcW w:w="876" w:type="pct"/>
            <w:vAlign w:val="center"/>
          </w:tcPr>
          <w:p>
            <w:pPr>
              <w:overflowPunct w:val="0"/>
              <w:topLinePunct/>
              <w:adjustRightInd w:val="0"/>
              <w:spacing w:line="300" w:lineRule="auto"/>
              <w:ind w:firstLine="0" w:firstLineChars="0"/>
              <w:jc w:val="center"/>
              <w:rPr>
                <w:rFonts w:hint="default" w:ascii="Times New Roman" w:hAnsi="Times New Roman" w:eastAsia="仿宋_GB2312" w:cs="Times New Roman"/>
                <w:sz w:val="24"/>
                <w:szCs w:val="24"/>
                <w:lang w:val="en-US" w:eastAsia="zh-CN"/>
              </w:rPr>
            </w:pPr>
            <w:r>
              <w:rPr>
                <w:rFonts w:hint="eastAsia" w:cs="Times New Roman"/>
                <w:sz w:val="24"/>
                <w:szCs w:val="24"/>
                <w:lang w:val="en-US" w:eastAsia="zh-CN"/>
              </w:rPr>
              <w:t>100%</w:t>
            </w:r>
          </w:p>
        </w:tc>
        <w:tc>
          <w:tcPr>
            <w:tcW w:w="739" w:type="pct"/>
            <w:vAlign w:val="center"/>
          </w:tcPr>
          <w:p>
            <w:pPr>
              <w:overflowPunct w:val="0"/>
              <w:topLinePunct/>
              <w:adjustRightInd w:val="0"/>
              <w:spacing w:line="300" w:lineRule="auto"/>
              <w:ind w:firstLine="0" w:firstLineChars="0"/>
              <w:jc w:val="center"/>
              <w:rPr>
                <w:rFonts w:hint="eastAsia" w:ascii="Times New Roman" w:hAnsi="Times New Roman" w:eastAsia="仿宋_GB2312" w:cs="Times New Roman"/>
                <w:kern w:val="0"/>
                <w:sz w:val="24"/>
                <w:szCs w:val="24"/>
                <w:lang w:eastAsia="zh-CN"/>
              </w:rPr>
            </w:pPr>
            <w:r>
              <w:rPr>
                <w:rFonts w:hint="eastAsia" w:cs="Times New Roman"/>
                <w:kern w:val="0"/>
                <w:sz w:val="24"/>
                <w:szCs w:val="24"/>
                <w:lang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Align w:val="center"/>
          </w:tcPr>
          <w:p>
            <w:pPr>
              <w:overflowPunct w:val="0"/>
              <w:topLinePunct/>
              <w:adjustRightInd w:val="0"/>
              <w:spacing w:line="300" w:lineRule="auto"/>
              <w:ind w:firstLine="0" w:firstLineChars="0"/>
              <w:jc w:val="center"/>
              <w:rPr>
                <w:rFonts w:hint="eastAsia" w:ascii="Times New Roman" w:hAnsi="Times New Roman" w:eastAsia="仿宋_GB2312" w:cs="Times New Roman"/>
                <w:kern w:val="0"/>
                <w:sz w:val="24"/>
                <w:szCs w:val="24"/>
                <w:lang w:val="en-US" w:eastAsia="zh-CN"/>
              </w:rPr>
            </w:pPr>
            <w:r>
              <w:rPr>
                <w:rFonts w:hint="eastAsia" w:cs="Times New Roman"/>
                <w:kern w:val="0"/>
                <w:sz w:val="24"/>
                <w:szCs w:val="24"/>
                <w:lang w:val="en-US" w:eastAsia="zh-CN"/>
              </w:rPr>
              <w:t>4</w:t>
            </w:r>
          </w:p>
        </w:tc>
        <w:tc>
          <w:tcPr>
            <w:tcW w:w="1961" w:type="pct"/>
            <w:vAlign w:val="center"/>
          </w:tcPr>
          <w:p>
            <w:pPr>
              <w:overflowPunct w:val="0"/>
              <w:topLinePunct/>
              <w:adjustRightInd w:val="0"/>
              <w:spacing w:line="30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一般工业固体废物综合利用率</w:t>
            </w:r>
          </w:p>
        </w:tc>
        <w:tc>
          <w:tcPr>
            <w:tcW w:w="986" w:type="pct"/>
            <w:vAlign w:val="center"/>
          </w:tcPr>
          <w:p>
            <w:pPr>
              <w:overflowPunct w:val="0"/>
              <w:topLinePunct/>
              <w:adjustRightInd w:val="0"/>
              <w:spacing w:line="300" w:lineRule="auto"/>
              <w:ind w:firstLine="0" w:firstLineChars="0"/>
              <w:jc w:val="center"/>
              <w:rPr>
                <w:rFonts w:hint="default" w:cs="Times New Roman"/>
                <w:sz w:val="24"/>
                <w:szCs w:val="24"/>
                <w:lang w:val="en-US" w:eastAsia="zh-CN"/>
              </w:rPr>
            </w:pPr>
          </w:p>
        </w:tc>
        <w:tc>
          <w:tcPr>
            <w:tcW w:w="876" w:type="pct"/>
            <w:vAlign w:val="center"/>
          </w:tcPr>
          <w:p>
            <w:pPr>
              <w:overflowPunct w:val="0"/>
              <w:topLinePunct/>
              <w:adjustRightInd w:val="0"/>
              <w:spacing w:line="300" w:lineRule="auto"/>
              <w:ind w:firstLine="0" w:firstLineChars="0"/>
              <w:jc w:val="center"/>
              <w:rPr>
                <w:rFonts w:hint="default" w:cs="Times New Roman"/>
                <w:sz w:val="24"/>
                <w:szCs w:val="24"/>
                <w:lang w:val="en-US" w:eastAsia="zh-CN"/>
              </w:rPr>
            </w:pPr>
            <w:r>
              <w:rPr>
                <w:rFonts w:hint="eastAsia" w:cs="Times New Roman"/>
                <w:sz w:val="24"/>
                <w:szCs w:val="24"/>
                <w:lang w:val="en-US" w:eastAsia="zh-CN"/>
              </w:rPr>
              <w:t>95%</w:t>
            </w:r>
          </w:p>
        </w:tc>
        <w:tc>
          <w:tcPr>
            <w:tcW w:w="739" w:type="pct"/>
            <w:vAlign w:val="center"/>
          </w:tcPr>
          <w:p>
            <w:pPr>
              <w:overflowPunct w:val="0"/>
              <w:topLinePunct/>
              <w:adjustRightInd w:val="0"/>
              <w:spacing w:line="300" w:lineRule="auto"/>
              <w:ind w:firstLine="0" w:firstLineChars="0"/>
              <w:jc w:val="center"/>
              <w:rPr>
                <w:rFonts w:hint="eastAsia" w:cs="Times New Roman"/>
                <w:kern w:val="0"/>
                <w:sz w:val="24"/>
                <w:szCs w:val="24"/>
                <w:lang w:eastAsia="zh-CN"/>
              </w:rPr>
            </w:pPr>
            <w:r>
              <w:rPr>
                <w:rFonts w:hint="eastAsia" w:cs="Times New Roman"/>
                <w:kern w:val="0"/>
                <w:sz w:val="24"/>
                <w:szCs w:val="24"/>
                <w:lang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6" w:type="pct"/>
            <w:vAlign w:val="center"/>
          </w:tcPr>
          <w:p>
            <w:pPr>
              <w:overflowPunct w:val="0"/>
              <w:topLinePunct/>
              <w:adjustRightInd w:val="0"/>
              <w:spacing w:line="300" w:lineRule="auto"/>
              <w:ind w:firstLine="0" w:firstLineChars="0"/>
              <w:jc w:val="center"/>
              <w:rPr>
                <w:rFonts w:hint="default" w:cs="Times New Roman"/>
                <w:kern w:val="0"/>
                <w:sz w:val="24"/>
                <w:szCs w:val="24"/>
                <w:lang w:val="en-US" w:eastAsia="zh-CN"/>
              </w:rPr>
            </w:pPr>
            <w:r>
              <w:rPr>
                <w:rFonts w:hint="eastAsia" w:cs="Times New Roman"/>
                <w:kern w:val="0"/>
                <w:sz w:val="24"/>
                <w:szCs w:val="24"/>
                <w:lang w:val="en-US" w:eastAsia="zh-CN"/>
              </w:rPr>
              <w:t>5</w:t>
            </w:r>
          </w:p>
        </w:tc>
        <w:tc>
          <w:tcPr>
            <w:tcW w:w="3342" w:type="dxa"/>
            <w:vAlign w:val="center"/>
          </w:tcPr>
          <w:p>
            <w:pPr>
              <w:overflowPunct w:val="0"/>
              <w:topLinePunct/>
              <w:adjustRightInd w:val="0"/>
              <w:spacing w:line="300" w:lineRule="auto"/>
              <w:ind w:firstLine="0" w:firstLineChars="0"/>
              <w:jc w:val="center"/>
              <w:rPr>
                <w:rFonts w:hint="default" w:cs="Times New Roman"/>
                <w:kern w:val="0"/>
                <w:sz w:val="24"/>
                <w:szCs w:val="24"/>
                <w:lang w:val="en-US" w:eastAsia="zh-CN"/>
              </w:rPr>
            </w:pPr>
            <w:r>
              <w:rPr>
                <w:rFonts w:hint="eastAsia" w:cs="Times New Roman"/>
                <w:kern w:val="0"/>
                <w:sz w:val="24"/>
                <w:szCs w:val="24"/>
                <w:lang w:val="en-US" w:eastAsia="zh-CN"/>
              </w:rPr>
              <w:t>秸秆综合利用率</w:t>
            </w:r>
          </w:p>
        </w:tc>
        <w:tc>
          <w:tcPr>
            <w:tcW w:w="1681" w:type="dxa"/>
            <w:vAlign w:val="center"/>
          </w:tcPr>
          <w:p>
            <w:pPr>
              <w:overflowPunct w:val="0"/>
              <w:topLinePunct/>
              <w:adjustRightInd w:val="0"/>
              <w:spacing w:line="300" w:lineRule="auto"/>
              <w:ind w:firstLine="0" w:firstLineChars="0"/>
              <w:jc w:val="center"/>
              <w:rPr>
                <w:rFonts w:hint="eastAsia" w:cs="Times New Roman"/>
                <w:kern w:val="0"/>
                <w:sz w:val="24"/>
                <w:szCs w:val="24"/>
                <w:lang w:val="en-US" w:eastAsia="zh-CN"/>
              </w:rPr>
            </w:pPr>
          </w:p>
        </w:tc>
        <w:tc>
          <w:tcPr>
            <w:tcW w:w="1493" w:type="dxa"/>
            <w:vAlign w:val="center"/>
          </w:tcPr>
          <w:p>
            <w:pPr>
              <w:overflowPunct w:val="0"/>
              <w:topLinePunct/>
              <w:adjustRightInd w:val="0"/>
              <w:spacing w:line="300" w:lineRule="auto"/>
              <w:ind w:firstLine="0" w:firstLineChars="0"/>
              <w:jc w:val="center"/>
              <w:rPr>
                <w:rFonts w:hint="eastAsia" w:cs="Times New Roman"/>
                <w:kern w:val="0"/>
                <w:sz w:val="24"/>
                <w:szCs w:val="24"/>
                <w:lang w:val="en-US" w:eastAsia="zh-CN"/>
              </w:rPr>
            </w:pPr>
            <w:r>
              <w:rPr>
                <w:rFonts w:hint="eastAsia" w:cs="Times New Roman"/>
                <w:kern w:val="0"/>
                <w:sz w:val="24"/>
                <w:szCs w:val="24"/>
                <w:lang w:val="en-US" w:eastAsia="zh-CN"/>
              </w:rPr>
              <w:t>≥90</w:t>
            </w:r>
          </w:p>
        </w:tc>
        <w:tc>
          <w:tcPr>
            <w:tcW w:w="739" w:type="pct"/>
            <w:vAlign w:val="center"/>
          </w:tcPr>
          <w:p>
            <w:pPr>
              <w:overflowPunct w:val="0"/>
              <w:topLinePunct/>
              <w:adjustRightInd w:val="0"/>
              <w:spacing w:line="300" w:lineRule="auto"/>
              <w:ind w:firstLine="0" w:firstLineChars="0"/>
              <w:jc w:val="center"/>
              <w:rPr>
                <w:rFonts w:hint="eastAsia" w:cs="Times New Roman"/>
                <w:kern w:val="0"/>
                <w:sz w:val="24"/>
                <w:szCs w:val="24"/>
                <w:lang w:val="en-US" w:eastAsia="zh-CN"/>
              </w:rPr>
            </w:pPr>
            <w:r>
              <w:rPr>
                <w:rFonts w:hint="eastAsia" w:cs="Times New Roman"/>
                <w:kern w:val="0"/>
                <w:sz w:val="24"/>
                <w:szCs w:val="24"/>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Align w:val="center"/>
          </w:tcPr>
          <w:p>
            <w:pPr>
              <w:overflowPunct w:val="0"/>
              <w:topLinePunct/>
              <w:adjustRightInd w:val="0"/>
              <w:spacing w:line="300" w:lineRule="auto"/>
              <w:ind w:firstLine="0" w:firstLineChars="0"/>
              <w:jc w:val="center"/>
              <w:rPr>
                <w:rFonts w:hint="default" w:cs="Times New Roman"/>
                <w:kern w:val="0"/>
                <w:sz w:val="24"/>
                <w:szCs w:val="24"/>
                <w:lang w:val="en-US" w:eastAsia="zh-CN"/>
              </w:rPr>
            </w:pPr>
            <w:r>
              <w:rPr>
                <w:rFonts w:hint="eastAsia" w:cs="Times New Roman"/>
                <w:kern w:val="0"/>
                <w:sz w:val="24"/>
                <w:szCs w:val="24"/>
                <w:lang w:val="en-US" w:eastAsia="zh-CN"/>
              </w:rPr>
              <w:t>6</w:t>
            </w:r>
          </w:p>
        </w:tc>
        <w:tc>
          <w:tcPr>
            <w:tcW w:w="3342" w:type="dxa"/>
            <w:vAlign w:val="center"/>
          </w:tcPr>
          <w:p>
            <w:pPr>
              <w:overflowPunct w:val="0"/>
              <w:topLinePunct/>
              <w:adjustRightInd w:val="0"/>
              <w:spacing w:line="300" w:lineRule="auto"/>
              <w:ind w:firstLine="0" w:firstLineChars="0"/>
              <w:jc w:val="center"/>
              <w:rPr>
                <w:rFonts w:hint="default" w:cs="Times New Roman"/>
                <w:kern w:val="0"/>
                <w:sz w:val="24"/>
                <w:szCs w:val="24"/>
                <w:lang w:val="en-US" w:eastAsia="zh-CN"/>
              </w:rPr>
            </w:pPr>
            <w:r>
              <w:rPr>
                <w:rFonts w:hint="eastAsia" w:cs="Times New Roman"/>
                <w:kern w:val="0"/>
                <w:sz w:val="24"/>
                <w:szCs w:val="24"/>
                <w:lang w:val="en-US" w:eastAsia="zh-CN"/>
              </w:rPr>
              <w:t>畜禽粪污综合利用率</w:t>
            </w:r>
          </w:p>
        </w:tc>
        <w:tc>
          <w:tcPr>
            <w:tcW w:w="1681" w:type="dxa"/>
            <w:vAlign w:val="center"/>
          </w:tcPr>
          <w:p>
            <w:pPr>
              <w:overflowPunct w:val="0"/>
              <w:topLinePunct/>
              <w:adjustRightInd w:val="0"/>
              <w:spacing w:line="300" w:lineRule="auto"/>
              <w:ind w:firstLine="0" w:firstLineChars="0"/>
              <w:jc w:val="center"/>
              <w:rPr>
                <w:rFonts w:hint="eastAsia" w:cs="Times New Roman"/>
                <w:kern w:val="0"/>
                <w:sz w:val="24"/>
                <w:szCs w:val="24"/>
                <w:lang w:val="en-US" w:eastAsia="zh-CN"/>
              </w:rPr>
            </w:pPr>
          </w:p>
        </w:tc>
        <w:tc>
          <w:tcPr>
            <w:tcW w:w="1493" w:type="dxa"/>
            <w:vAlign w:val="center"/>
          </w:tcPr>
          <w:p>
            <w:pPr>
              <w:overflowPunct w:val="0"/>
              <w:topLinePunct/>
              <w:adjustRightInd w:val="0"/>
              <w:spacing w:line="300" w:lineRule="auto"/>
              <w:ind w:firstLine="0" w:firstLineChars="0"/>
              <w:jc w:val="center"/>
              <w:rPr>
                <w:rFonts w:hint="eastAsia" w:cs="Times New Roman"/>
                <w:kern w:val="0"/>
                <w:sz w:val="24"/>
                <w:szCs w:val="24"/>
                <w:lang w:val="en-US" w:eastAsia="zh-CN"/>
              </w:rPr>
            </w:pPr>
            <w:r>
              <w:rPr>
                <w:rFonts w:hint="eastAsia" w:cs="Times New Roman"/>
                <w:kern w:val="0"/>
                <w:sz w:val="24"/>
                <w:szCs w:val="24"/>
                <w:lang w:val="en-US" w:eastAsia="zh-CN"/>
              </w:rPr>
              <w:t>≥90</w:t>
            </w:r>
          </w:p>
        </w:tc>
        <w:tc>
          <w:tcPr>
            <w:tcW w:w="739" w:type="pct"/>
            <w:vAlign w:val="center"/>
          </w:tcPr>
          <w:p>
            <w:pPr>
              <w:overflowPunct w:val="0"/>
              <w:topLinePunct/>
              <w:adjustRightInd w:val="0"/>
              <w:spacing w:line="300" w:lineRule="auto"/>
              <w:ind w:firstLine="0" w:firstLineChars="0"/>
              <w:jc w:val="center"/>
              <w:rPr>
                <w:rFonts w:hint="eastAsia" w:cs="Times New Roman"/>
                <w:kern w:val="0"/>
                <w:sz w:val="24"/>
                <w:szCs w:val="24"/>
                <w:lang w:val="en-US" w:eastAsia="zh-CN"/>
              </w:rPr>
            </w:pPr>
            <w:r>
              <w:rPr>
                <w:rFonts w:hint="eastAsia" w:cs="Times New Roman"/>
                <w:kern w:val="0"/>
                <w:sz w:val="24"/>
                <w:szCs w:val="24"/>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Align w:val="center"/>
          </w:tcPr>
          <w:p>
            <w:pPr>
              <w:overflowPunct w:val="0"/>
              <w:topLinePunct/>
              <w:adjustRightInd w:val="0"/>
              <w:spacing w:line="300" w:lineRule="auto"/>
              <w:ind w:firstLine="0" w:firstLineChars="0"/>
              <w:jc w:val="center"/>
              <w:rPr>
                <w:rFonts w:hint="default" w:cs="Times New Roman"/>
                <w:kern w:val="0"/>
                <w:sz w:val="24"/>
                <w:szCs w:val="24"/>
                <w:lang w:val="en-US" w:eastAsia="zh-CN"/>
              </w:rPr>
            </w:pPr>
            <w:r>
              <w:rPr>
                <w:rFonts w:hint="eastAsia" w:cs="Times New Roman"/>
                <w:kern w:val="0"/>
                <w:sz w:val="24"/>
                <w:szCs w:val="24"/>
                <w:lang w:val="en-US" w:eastAsia="zh-CN"/>
              </w:rPr>
              <w:t>7</w:t>
            </w:r>
          </w:p>
        </w:tc>
        <w:tc>
          <w:tcPr>
            <w:tcW w:w="3342" w:type="dxa"/>
            <w:vAlign w:val="center"/>
          </w:tcPr>
          <w:p>
            <w:pPr>
              <w:overflowPunct w:val="0"/>
              <w:topLinePunct/>
              <w:adjustRightInd w:val="0"/>
              <w:spacing w:line="300" w:lineRule="auto"/>
              <w:ind w:firstLine="0" w:firstLineChars="0"/>
              <w:jc w:val="center"/>
              <w:rPr>
                <w:rFonts w:hint="default" w:cs="Times New Roman"/>
                <w:kern w:val="0"/>
                <w:sz w:val="24"/>
                <w:szCs w:val="24"/>
                <w:lang w:val="en-US" w:eastAsia="zh-CN"/>
              </w:rPr>
            </w:pPr>
            <w:r>
              <w:rPr>
                <w:rFonts w:hint="eastAsia" w:cs="Times New Roman"/>
                <w:kern w:val="0"/>
                <w:sz w:val="24"/>
                <w:szCs w:val="24"/>
                <w:lang w:val="en-US" w:eastAsia="zh-CN"/>
              </w:rPr>
              <w:t>废旧农膜回收利用率</w:t>
            </w:r>
          </w:p>
        </w:tc>
        <w:tc>
          <w:tcPr>
            <w:tcW w:w="1681" w:type="dxa"/>
            <w:vAlign w:val="center"/>
          </w:tcPr>
          <w:p>
            <w:pPr>
              <w:overflowPunct w:val="0"/>
              <w:topLinePunct/>
              <w:adjustRightInd w:val="0"/>
              <w:spacing w:line="300" w:lineRule="auto"/>
              <w:ind w:firstLine="0" w:firstLineChars="0"/>
              <w:jc w:val="center"/>
              <w:rPr>
                <w:rFonts w:hint="eastAsia" w:cs="Times New Roman"/>
                <w:kern w:val="0"/>
                <w:sz w:val="24"/>
                <w:szCs w:val="24"/>
                <w:lang w:val="en-US" w:eastAsia="zh-CN"/>
              </w:rPr>
            </w:pPr>
          </w:p>
        </w:tc>
        <w:tc>
          <w:tcPr>
            <w:tcW w:w="1493" w:type="dxa"/>
            <w:vAlign w:val="center"/>
          </w:tcPr>
          <w:p>
            <w:pPr>
              <w:overflowPunct w:val="0"/>
              <w:topLinePunct/>
              <w:adjustRightInd w:val="0"/>
              <w:spacing w:line="300" w:lineRule="auto"/>
              <w:ind w:firstLine="0" w:firstLineChars="0"/>
              <w:jc w:val="center"/>
              <w:rPr>
                <w:rFonts w:hint="eastAsia" w:cs="Times New Roman"/>
                <w:kern w:val="0"/>
                <w:sz w:val="24"/>
                <w:szCs w:val="24"/>
                <w:lang w:val="en-US" w:eastAsia="zh-CN"/>
              </w:rPr>
            </w:pPr>
            <w:r>
              <w:rPr>
                <w:rFonts w:hint="eastAsia" w:cs="Times New Roman"/>
                <w:kern w:val="0"/>
                <w:sz w:val="24"/>
                <w:szCs w:val="24"/>
                <w:lang w:val="en-US" w:eastAsia="zh-CN"/>
              </w:rPr>
              <w:t>≥85</w:t>
            </w:r>
          </w:p>
        </w:tc>
        <w:tc>
          <w:tcPr>
            <w:tcW w:w="739" w:type="pct"/>
            <w:vAlign w:val="center"/>
          </w:tcPr>
          <w:p>
            <w:pPr>
              <w:overflowPunct w:val="0"/>
              <w:topLinePunct/>
              <w:adjustRightInd w:val="0"/>
              <w:spacing w:line="300" w:lineRule="auto"/>
              <w:ind w:firstLine="0" w:firstLineChars="0"/>
              <w:jc w:val="center"/>
              <w:rPr>
                <w:rFonts w:hint="eastAsia" w:cs="Times New Roman"/>
                <w:kern w:val="0"/>
                <w:sz w:val="24"/>
                <w:szCs w:val="24"/>
                <w:lang w:val="en-US" w:eastAsia="zh-CN"/>
              </w:rPr>
            </w:pPr>
            <w:r>
              <w:rPr>
                <w:rFonts w:hint="eastAsia" w:cs="Times New Roman"/>
                <w:kern w:val="0"/>
                <w:sz w:val="24"/>
                <w:szCs w:val="24"/>
                <w:lang w:val="en-US" w:eastAsia="zh-CN"/>
              </w:rPr>
              <w:t>预期性</w:t>
            </w:r>
          </w:p>
        </w:tc>
      </w:tr>
    </w:tbl>
    <w:p>
      <w:pPr>
        <w:spacing w:beforeLines="50" w:line="300" w:lineRule="auto"/>
        <w:ind w:firstLine="0" w:firstLineChars="0"/>
        <w:jc w:val="left"/>
        <w:rPr>
          <w:szCs w:val="30"/>
        </w:rPr>
      </w:pPr>
      <w:r>
        <w:rPr>
          <w:rFonts w:hint="eastAsia"/>
          <w:szCs w:val="30"/>
        </w:rPr>
        <w:br w:type="page"/>
      </w:r>
    </w:p>
    <w:p>
      <w:pPr>
        <w:pStyle w:val="3"/>
        <w:ind w:firstLine="640"/>
      </w:pPr>
      <w:bookmarkStart w:id="13" w:name="_Toc20271"/>
      <w:r>
        <w:rPr>
          <w:rFonts w:hint="eastAsia"/>
        </w:rPr>
        <w:t>三、主要任务</w:t>
      </w:r>
      <w:bookmarkEnd w:id="13"/>
    </w:p>
    <w:p>
      <w:pPr>
        <w:pStyle w:val="4"/>
        <w:ind w:firstLine="643"/>
      </w:pPr>
      <w:bookmarkStart w:id="14" w:name="_Toc5365"/>
      <w:r>
        <w:rPr>
          <w:rFonts w:hint="eastAsia"/>
        </w:rPr>
        <w:t>（一）深入推进土壤环境质量调查</w:t>
      </w:r>
      <w:bookmarkEnd w:id="14"/>
    </w:p>
    <w:p>
      <w:pPr>
        <w:pStyle w:val="5"/>
        <w:ind w:firstLine="643"/>
        <w:rPr>
          <w:rFonts w:eastAsia="仿宋"/>
        </w:rPr>
      </w:pPr>
      <w:r>
        <w:rPr>
          <w:rFonts w:eastAsia="仿宋"/>
        </w:rPr>
        <w:t>1.</w:t>
      </w:r>
      <w:r>
        <w:rPr>
          <w:rFonts w:hint="eastAsia" w:ascii="仿宋_GB2312" w:hAnsi="仿宋_GB2312" w:cs="仿宋_GB2312"/>
          <w:szCs w:val="32"/>
        </w:rPr>
        <w:t>深化农用地调查评估</w:t>
      </w:r>
    </w:p>
    <w:p>
      <w:pPr>
        <w:ind w:firstLine="602"/>
        <w:rPr>
          <w:rFonts w:ascii="仿宋_GB2312" w:hAnsi="仿宋_GB2312" w:cs="仿宋_GB2312"/>
          <w:szCs w:val="30"/>
        </w:rPr>
      </w:pPr>
      <w:r>
        <w:rPr>
          <w:rFonts w:hint="eastAsia"/>
          <w:b/>
          <w:szCs w:val="30"/>
        </w:rPr>
        <w:t>推进超标区域加密调查。</w:t>
      </w:r>
      <w:r>
        <w:rPr>
          <w:rFonts w:hint="eastAsia" w:ascii="仿宋_GB2312" w:hAnsi="仿宋_GB2312" w:cs="仿宋_GB2312"/>
          <w:szCs w:val="30"/>
        </w:rPr>
        <w:t>根据农用地土壤污染状况详查结果，开展超标区域加密调查，以耕地集中超标区、农产品超标区、曾作为污水灌溉区为重点，推进受污染农用地加密调查和风险评估，进一步查明污染耕地地块分布、超标面积及农产品质量。</w:t>
      </w:r>
    </w:p>
    <w:p>
      <w:pPr>
        <w:ind w:firstLine="602"/>
        <w:rPr>
          <w:rFonts w:ascii="仿宋_GB2312" w:hAnsi="仿宋_GB2312" w:cs="仿宋_GB2312"/>
          <w:szCs w:val="30"/>
        </w:rPr>
      </w:pPr>
      <w:r>
        <w:rPr>
          <w:rFonts w:hint="eastAsia"/>
          <w:b/>
          <w:szCs w:val="30"/>
        </w:rPr>
        <w:t>推进重金属高背景区农用地调查</w:t>
      </w:r>
      <w:r>
        <w:rPr>
          <w:b/>
          <w:szCs w:val="30"/>
        </w:rPr>
        <w:t>。</w:t>
      </w:r>
      <w:r>
        <w:rPr>
          <w:rFonts w:hint="eastAsia"/>
          <w:b w:val="0"/>
          <w:bCs/>
          <w:szCs w:val="30"/>
          <w:lang w:eastAsia="zh-CN"/>
        </w:rPr>
        <w:t>配合生态环境厅</w:t>
      </w:r>
      <w:r>
        <w:rPr>
          <w:rFonts w:hint="eastAsia" w:ascii="仿宋_GB2312" w:hAnsi="仿宋_GB2312" w:cs="仿宋_GB2312"/>
          <w:szCs w:val="30"/>
        </w:rPr>
        <w:t>开展重金属高背景区农用地质量调查，掌握全市土壤环境背景值，进一步查明重金属高背景区农用地土壤环境质量，深入分析土壤重金属高背景对农产品质量影响，为农用地风险管控提供基础数据。</w:t>
      </w:r>
    </w:p>
    <w:p>
      <w:pPr>
        <w:ind w:firstLine="602"/>
        <w:rPr>
          <w:rFonts w:eastAsia="仿宋"/>
          <w:szCs w:val="30"/>
        </w:rPr>
      </w:pPr>
      <w:r>
        <w:rPr>
          <w:rFonts w:hint="eastAsia"/>
          <w:b/>
          <w:bCs/>
          <w:szCs w:val="30"/>
        </w:rPr>
        <w:t>开展耕地土壤污染成因分析。</w:t>
      </w:r>
      <w:r>
        <w:rPr>
          <w:rFonts w:hint="eastAsia" w:ascii="仿宋_GB2312" w:hAnsi="仿宋_GB2312" w:cs="仿宋_GB2312"/>
          <w:szCs w:val="30"/>
        </w:rPr>
        <w:t>根据受污染耕地详查结果，以产粮（油）大县、化工、电镀、制革等土壤污染重点监管单位周边影响区为重点，摸清污染途径和污染物含量变化趋势等，明确源头管控重点和对策，加快推进耕地土壤污染成因排查和分析试点。</w:t>
      </w:r>
    </w:p>
    <w:p>
      <w:pPr>
        <w:pStyle w:val="5"/>
        <w:ind w:firstLine="643"/>
        <w:rPr>
          <w:rFonts w:eastAsia="仿宋"/>
        </w:rPr>
      </w:pPr>
      <w:r>
        <w:rPr>
          <w:rFonts w:hint="eastAsia" w:eastAsia="仿宋"/>
        </w:rPr>
        <w:t>2.</w:t>
      </w:r>
      <w:r>
        <w:rPr>
          <w:rFonts w:hint="eastAsia" w:ascii="仿宋_GB2312" w:hAnsi="仿宋_GB2312" w:cs="仿宋_GB2312"/>
        </w:rPr>
        <w:t>推进建设用地调查评估</w:t>
      </w:r>
    </w:p>
    <w:p>
      <w:pPr>
        <w:ind w:firstLine="602"/>
        <w:rPr>
          <w:szCs w:val="30"/>
        </w:rPr>
      </w:pPr>
      <w:r>
        <w:rPr>
          <w:rFonts w:hint="eastAsia"/>
          <w:b/>
          <w:szCs w:val="30"/>
        </w:rPr>
        <w:t>深化重点行业企业用地调查</w:t>
      </w:r>
      <w:r>
        <w:rPr>
          <w:b/>
          <w:szCs w:val="30"/>
        </w:rPr>
        <w:t>。</w:t>
      </w:r>
      <w:r>
        <w:rPr>
          <w:szCs w:val="30"/>
        </w:rPr>
        <w:t>配合生态环境厅推进土壤污染重点行业（73类）以外的行业企业和未采样调查的中风险地块及周边耕地为重点，拓展典型行业土壤污染状况调查。</w:t>
      </w:r>
      <w:r>
        <w:rPr>
          <w:rFonts w:hint="eastAsia"/>
          <w:szCs w:val="30"/>
        </w:rPr>
        <w:t>积极督促企业用地调查以及自行监测超标的在产企业按照指南要求开展在产企业土壤污染状况详细调查和风险管控，防止污染扩散，保障人居安全。</w:t>
      </w:r>
    </w:p>
    <w:p>
      <w:pPr>
        <w:ind w:firstLine="602"/>
        <w:rPr>
          <w:szCs w:val="30"/>
        </w:rPr>
      </w:pPr>
      <w:r>
        <w:rPr>
          <w:b/>
          <w:bCs/>
          <w:szCs w:val="30"/>
        </w:rPr>
        <w:t>持续推进建设用地土壤污染调查评估。</w:t>
      </w:r>
      <w:r>
        <w:rPr>
          <w:rFonts w:hint="eastAsia"/>
          <w:szCs w:val="30"/>
        </w:rPr>
        <w:t>持续推进疑似污染地块排查，督促污染责任人或土地使用人开展土壤污染状况调查。</w:t>
      </w:r>
      <w:r>
        <w:rPr>
          <w:szCs w:val="30"/>
        </w:rPr>
        <w:t>加强曾用于生产、使用、贮存、回收、处置有毒有害物质的，曾用于固体废物堆放、填埋的建设用地地块调查。以用途变更为住宅、公共管理与公共服务用地的地块及腾退工矿企业用地为重点，依法开展土壤污染状况调查和风险评估。加强土壤污染重点监管单位生产经营用地用途变更或者在其土地使用权收回、转让前的土壤污染状况调查。</w:t>
      </w:r>
    </w:p>
    <w:p>
      <w:pPr>
        <w:pStyle w:val="5"/>
        <w:ind w:firstLine="643"/>
        <w:rPr>
          <w:rFonts w:eastAsia="仿宋"/>
        </w:rPr>
      </w:pPr>
      <w:r>
        <w:rPr>
          <w:rFonts w:hint="eastAsia" w:eastAsia="仿宋"/>
        </w:rPr>
        <w:t>3.</w:t>
      </w:r>
      <w:r>
        <w:rPr>
          <w:rFonts w:hint="eastAsia" w:ascii="仿宋_GB2312" w:hAnsi="仿宋_GB2312" w:cs="仿宋_GB2312"/>
        </w:rPr>
        <w:t>推进重点区域专项调查</w:t>
      </w:r>
    </w:p>
    <w:p>
      <w:pPr>
        <w:ind w:firstLine="602"/>
        <w:rPr>
          <w:szCs w:val="30"/>
        </w:rPr>
      </w:pPr>
      <w:r>
        <w:rPr>
          <w:rFonts w:hint="eastAsia"/>
          <w:b/>
          <w:bCs/>
          <w:szCs w:val="30"/>
        </w:rPr>
        <w:t>加强水源地周边土壤调查。</w:t>
      </w:r>
      <w:r>
        <w:rPr>
          <w:szCs w:val="30"/>
        </w:rPr>
        <w:t>持续推进县级及以上集中式饮用水水源地土壤环境质量调查，以一、二级保护区为重点，查明区域内土壤环境现状，评估土壤对水源地安全风险。对土壤污染影响或者可能影响地下水、饮用水水源安全的，应制定防治污染的方案，并采取相应的措施。</w:t>
      </w:r>
    </w:p>
    <w:p>
      <w:pPr>
        <w:ind w:firstLine="602"/>
        <w:rPr>
          <w:szCs w:val="30"/>
        </w:rPr>
      </w:pPr>
      <w:r>
        <w:rPr>
          <w:rFonts w:hint="eastAsia"/>
          <w:b/>
          <w:bCs/>
          <w:szCs w:val="30"/>
        </w:rPr>
        <w:t>推进矿山、尾矿库周边土壤调查。</w:t>
      </w:r>
      <w:r>
        <w:rPr>
          <w:szCs w:val="30"/>
        </w:rPr>
        <w:t>补充开展矿山、尾矿库重点区域评估工作，以沐川恒基矿业有限公司田湾头尾矿库、马边无穷矿业有限公司丁家湾磷矿尾矿库等为重点，开展</w:t>
      </w:r>
      <w:r>
        <w:rPr>
          <w:rFonts w:hint="eastAsia" w:ascii="仿宋_GB2312" w:hAnsi="仿宋_GB2312" w:cs="仿宋_GB2312"/>
          <w:szCs w:val="30"/>
        </w:rPr>
        <w:t>“矿区－尾矿库－流域”土</w:t>
      </w:r>
      <w:r>
        <w:rPr>
          <w:szCs w:val="30"/>
        </w:rPr>
        <w:t>壤和地下水等环境质量协同调查评估。</w:t>
      </w:r>
    </w:p>
    <w:p>
      <w:pPr>
        <w:ind w:firstLine="602"/>
        <w:rPr>
          <w:szCs w:val="30"/>
        </w:rPr>
      </w:pPr>
      <w:r>
        <w:rPr>
          <w:rFonts w:hint="eastAsia"/>
          <w:b/>
          <w:bCs/>
        </w:rPr>
        <w:t>开展重点区域周边土壤调查。</w:t>
      </w:r>
      <w:r>
        <w:rPr>
          <w:rFonts w:hint="eastAsia"/>
          <w:szCs w:val="30"/>
        </w:rPr>
        <w:t>持续开展</w:t>
      </w:r>
      <w:r>
        <w:rPr>
          <w:szCs w:val="30"/>
        </w:rPr>
        <w:t>工业园区、油库、加油站垃圾填埋场和焚烧厂等重点区域土壤调查评估，开展燃煤电厂、垃圾焚烧等企业周边土壤汞、二噁英等污染调查。继续开展工业园区土壤质量调查，进行常态化监测，分析区域污染成因，并采取相关管控措施，防止污染进一步扩散。</w:t>
      </w:r>
    </w:p>
    <w:p>
      <w:pPr>
        <w:pStyle w:val="5"/>
        <w:ind w:firstLine="643"/>
      </w:pPr>
      <w:r>
        <w:rPr>
          <w:rFonts w:hint="eastAsia"/>
        </w:rPr>
        <w:t>4.持续开展常态化调查与评估</w:t>
      </w:r>
    </w:p>
    <w:p>
      <w:pPr>
        <w:pStyle w:val="2"/>
        <w:ind w:firstLine="602"/>
        <w:rPr>
          <w:bCs/>
          <w:color w:val="FF0000"/>
          <w:szCs w:val="30"/>
        </w:rPr>
      </w:pPr>
      <w:r>
        <w:rPr>
          <w:b/>
          <w:szCs w:val="30"/>
        </w:rPr>
        <w:t>优化土壤环境质量监测</w:t>
      </w:r>
      <w:r>
        <w:rPr>
          <w:rFonts w:hint="eastAsia"/>
          <w:b/>
          <w:szCs w:val="30"/>
        </w:rPr>
        <w:t>点位与指标</w:t>
      </w:r>
      <w:r>
        <w:rPr>
          <w:b/>
          <w:szCs w:val="30"/>
        </w:rPr>
        <w:t>。</w:t>
      </w:r>
      <w:r>
        <w:rPr>
          <w:rFonts w:hint="eastAsia"/>
          <w:bCs/>
          <w:szCs w:val="30"/>
        </w:rPr>
        <w:t>优化市级</w:t>
      </w:r>
      <w:r>
        <w:rPr>
          <w:bCs/>
          <w:szCs w:val="30"/>
        </w:rPr>
        <w:t>土壤环境质量监测</w:t>
      </w:r>
      <w:r>
        <w:rPr>
          <w:rFonts w:hint="eastAsia"/>
          <w:bCs/>
          <w:szCs w:val="30"/>
        </w:rPr>
        <w:t>点位，根据重点行业企业用地风险筛查结果，以化学原料和化学制品制造等行业为重点，加强中、高环境风险企业和</w:t>
      </w:r>
      <w:r>
        <w:rPr>
          <w:bCs/>
          <w:szCs w:val="30"/>
        </w:rPr>
        <w:t>基本农田集中区</w:t>
      </w:r>
      <w:r>
        <w:rPr>
          <w:rFonts w:hint="eastAsia"/>
          <w:bCs/>
          <w:szCs w:val="30"/>
        </w:rPr>
        <w:t>土壤环境质量监测</w:t>
      </w:r>
      <w:r>
        <w:rPr>
          <w:bCs/>
          <w:szCs w:val="30"/>
        </w:rPr>
        <w:t>。</w:t>
      </w:r>
      <w:r>
        <w:rPr>
          <w:rFonts w:hint="eastAsia"/>
          <w:bCs/>
          <w:szCs w:val="30"/>
        </w:rPr>
        <w:t>优化土壤环境质量监测指标，根据土壤污染重点监管单位、工业园区、污水集中处理和固体废物集中处置设施污染物特征和检出情况，优化监督性监测指标，未检出指标可降低监测频次，制定“常规+特征”监测指标体系。</w:t>
      </w:r>
    </w:p>
    <w:p>
      <w:pPr>
        <w:ind w:firstLine="602"/>
        <w:rPr>
          <w:szCs w:val="30"/>
        </w:rPr>
      </w:pPr>
      <w:r>
        <w:rPr>
          <w:rFonts w:hint="eastAsia"/>
          <w:b/>
          <w:szCs w:val="30"/>
        </w:rPr>
        <w:t>持续完善土壤环境质量基础数据库。</w:t>
      </w:r>
      <w:r>
        <w:rPr>
          <w:rFonts w:hint="eastAsia"/>
          <w:bCs/>
          <w:szCs w:val="30"/>
        </w:rPr>
        <w:t>开展土壤环境基础信息整合，充分收集</w:t>
      </w:r>
      <w:r>
        <w:rPr>
          <w:bCs/>
          <w:szCs w:val="30"/>
        </w:rPr>
        <w:t>土壤污染状况详查、土壤环境质量监测网、农产品质量监测、灌溉水</w:t>
      </w:r>
      <w:r>
        <w:rPr>
          <w:rFonts w:hint="eastAsia"/>
          <w:bCs/>
          <w:szCs w:val="30"/>
        </w:rPr>
        <w:t>水质监测、</w:t>
      </w:r>
      <w:r>
        <w:rPr>
          <w:bCs/>
          <w:szCs w:val="30"/>
        </w:rPr>
        <w:t>土地利用现状、土地利用规划、</w:t>
      </w:r>
      <w:r>
        <w:rPr>
          <w:rFonts w:hint="eastAsia"/>
          <w:bCs/>
          <w:szCs w:val="30"/>
        </w:rPr>
        <w:t>“三线一单”</w:t>
      </w:r>
      <w:r>
        <w:rPr>
          <w:bCs/>
          <w:szCs w:val="30"/>
        </w:rPr>
        <w:t>等相关数据，</w:t>
      </w:r>
      <w:r>
        <w:rPr>
          <w:rFonts w:hint="eastAsia"/>
          <w:bCs/>
          <w:szCs w:val="30"/>
        </w:rPr>
        <w:t>完善市级土壤环境信息基础数据库。</w:t>
      </w:r>
      <w:r>
        <w:rPr>
          <w:rFonts w:hint="eastAsia"/>
          <w:szCs w:val="30"/>
        </w:rPr>
        <w:t>加强</w:t>
      </w:r>
      <w:r>
        <w:rPr>
          <w:szCs w:val="30"/>
        </w:rPr>
        <w:t>自然资源、生态环境、农业农村、水利、住房城乡建设等部门</w:t>
      </w:r>
      <w:r>
        <w:rPr>
          <w:rFonts w:hint="eastAsia"/>
          <w:szCs w:val="30"/>
        </w:rPr>
        <w:t>年度监测数据共享与</w:t>
      </w:r>
      <w:r>
        <w:rPr>
          <w:szCs w:val="30"/>
        </w:rPr>
        <w:t>信息联动</w:t>
      </w:r>
      <w:r>
        <w:rPr>
          <w:rFonts w:hint="eastAsia"/>
          <w:szCs w:val="30"/>
        </w:rPr>
        <w:t>，动态更新土壤环境质量基础数据库，</w:t>
      </w:r>
      <w:r>
        <w:rPr>
          <w:szCs w:val="30"/>
        </w:rPr>
        <w:t>实现</w:t>
      </w:r>
      <w:r>
        <w:rPr>
          <w:rFonts w:hint="eastAsia"/>
          <w:szCs w:val="30"/>
        </w:rPr>
        <w:t>土壤环境质量“</w:t>
      </w:r>
      <w:r>
        <w:rPr>
          <w:szCs w:val="30"/>
        </w:rPr>
        <w:t>一张图</w:t>
      </w:r>
      <w:r>
        <w:rPr>
          <w:rFonts w:hint="eastAsia"/>
          <w:szCs w:val="30"/>
        </w:rPr>
        <w:t>”</w:t>
      </w:r>
      <w:r>
        <w:rPr>
          <w:szCs w:val="30"/>
        </w:rPr>
        <w:t>管理。</w:t>
      </w:r>
    </w:p>
    <w:p>
      <w:pPr>
        <w:pStyle w:val="4"/>
        <w:ind w:firstLine="643"/>
      </w:pPr>
      <w:bookmarkStart w:id="15" w:name="_Toc31987"/>
      <w:r>
        <w:rPr>
          <w:rFonts w:hint="eastAsia"/>
        </w:rPr>
        <w:t>（二）加强污染源头防控</w:t>
      </w:r>
      <w:bookmarkEnd w:id="15"/>
    </w:p>
    <w:p>
      <w:pPr>
        <w:pStyle w:val="5"/>
        <w:ind w:firstLine="643"/>
        <w:rPr>
          <w:rFonts w:eastAsia="仿宋"/>
        </w:rPr>
      </w:pPr>
      <w:r>
        <w:rPr>
          <w:rFonts w:hint="eastAsia" w:eastAsia="仿宋"/>
        </w:rPr>
        <w:t>1.</w:t>
      </w:r>
      <w:r>
        <w:rPr>
          <w:rFonts w:hint="eastAsia" w:ascii="仿宋_GB2312" w:hAnsi="仿宋_GB2312" w:cs="仿宋_GB2312"/>
        </w:rPr>
        <w:t>加强重点行业企业污染防控</w:t>
      </w:r>
    </w:p>
    <w:p>
      <w:pPr>
        <w:ind w:firstLine="602"/>
        <w:rPr>
          <w:szCs w:val="30"/>
        </w:rPr>
      </w:pPr>
      <w:r>
        <w:rPr>
          <w:b/>
          <w:szCs w:val="30"/>
        </w:rPr>
        <w:t>加强重点行业企业监管。</w:t>
      </w:r>
      <w:r>
        <w:rPr>
          <w:rFonts w:hint="eastAsia"/>
          <w:szCs w:val="30"/>
        </w:rPr>
        <w:t>制定并按年度更新</w:t>
      </w:r>
      <w:r>
        <w:rPr>
          <w:szCs w:val="30"/>
        </w:rPr>
        <w:t>土壤污染重点监管单位名单，</w:t>
      </w:r>
      <w:r>
        <w:rPr>
          <w:rFonts w:hint="eastAsia"/>
          <w:szCs w:val="30"/>
        </w:rPr>
        <w:t>并向社会公布。</w:t>
      </w:r>
      <w:r>
        <w:rPr>
          <w:szCs w:val="30"/>
        </w:rPr>
        <w:t>将土壤污染重点监管单位土壤污染防治相关责任和义务纳入土壤污染防治目标责任书管理，建立重点监管单位土壤污染隐患排查和自行监测制度，严格有毒有害物质使用排放并按年度报告排放情况，每3年至少开展一次开展土壤污染隐患排查，制定整改方案，落实整改措施，形成隐患整改台账，建立隐患排查档案并存档备查。重点开展土</w:t>
      </w:r>
      <w:r>
        <w:rPr>
          <w:rFonts w:hint="eastAsia" w:ascii="仿宋_GB2312" w:hAnsi="仿宋_GB2312" w:cs="仿宋_GB2312"/>
          <w:szCs w:val="30"/>
        </w:rPr>
        <w:t>壤“两防两控”（防渗漏和“跑冒滴漏”、控制有毒有害物质排放和无组织排放），</w:t>
      </w:r>
      <w:r>
        <w:rPr>
          <w:szCs w:val="30"/>
        </w:rPr>
        <w:t>定期开展土壤污染重点监管单位周边土壤环境监督性监测。严格企业拆除活动监管，土壤污染重点监管单位制定拆除活动土壤污染防治方案并组织实施。</w:t>
      </w:r>
    </w:p>
    <w:p>
      <w:pPr>
        <w:ind w:firstLine="602"/>
        <w:rPr>
          <w:szCs w:val="30"/>
        </w:rPr>
      </w:pPr>
      <w:r>
        <w:rPr>
          <w:rFonts w:hint="eastAsia"/>
          <w:b/>
          <w:bCs/>
          <w:szCs w:val="30"/>
        </w:rPr>
        <w:t>加强重金属污染防治。</w:t>
      </w:r>
      <w:r>
        <w:rPr>
          <w:szCs w:val="30"/>
        </w:rPr>
        <w:t>严格新（改、扩）建涉重金属重点行业建设项目环境准入，优化涉重产业布局，依法淘汰落后产能，持续开展清洁生产，提升企业清洁生产</w:t>
      </w:r>
      <w:r>
        <w:rPr>
          <w:rFonts w:hint="eastAsia"/>
          <w:szCs w:val="30"/>
          <w:lang w:eastAsia="zh-CN"/>
        </w:rPr>
        <w:t>水平</w:t>
      </w:r>
      <w:r>
        <w:rPr>
          <w:szCs w:val="30"/>
        </w:rPr>
        <w:t>。配合省厅深入开展耕地周边涉镉等重金属行业企业排查，动态更新污染源排查整治清单，开</w:t>
      </w:r>
      <w:r>
        <w:rPr>
          <w:rFonts w:hint="eastAsia" w:ascii="仿宋_GB2312" w:hAnsi="仿宋_GB2312" w:cs="仿宋_GB2312"/>
          <w:szCs w:val="30"/>
        </w:rPr>
        <w:t>展“十三五”污染源整治清单“回头看”，</w:t>
      </w:r>
      <w:r>
        <w:rPr>
          <w:szCs w:val="30"/>
        </w:rPr>
        <w:t>防止耕地重金属污染。2023年6月底前，对纳入大气重点排污单位名录的涉镉等重金属排放企业，按排污许可证规定对大气污染物中的颗粒物实现自动监测，并与生态环境主管部门的监控设备联网。</w:t>
      </w:r>
    </w:p>
    <w:p>
      <w:pPr>
        <w:pStyle w:val="5"/>
        <w:ind w:firstLine="643"/>
      </w:pPr>
      <w:r>
        <w:t>2</w:t>
      </w:r>
      <w:r>
        <w:rPr>
          <w:rFonts w:hint="eastAsia"/>
        </w:rPr>
        <w:t>.加强矿山开采和固废污染监管</w:t>
      </w:r>
    </w:p>
    <w:p>
      <w:pPr>
        <w:ind w:firstLine="602"/>
        <w:rPr>
          <w:szCs w:val="30"/>
        </w:rPr>
      </w:pPr>
      <w:r>
        <w:rPr>
          <w:b/>
          <w:szCs w:val="30"/>
        </w:rPr>
        <w:t>加强</w:t>
      </w:r>
      <w:r>
        <w:rPr>
          <w:rFonts w:hint="eastAsia"/>
          <w:b/>
          <w:szCs w:val="30"/>
        </w:rPr>
        <w:t>矿产资源</w:t>
      </w:r>
      <w:r>
        <w:rPr>
          <w:b/>
          <w:szCs w:val="30"/>
        </w:rPr>
        <w:t>开</w:t>
      </w:r>
      <w:r>
        <w:rPr>
          <w:rFonts w:hint="eastAsia"/>
          <w:b/>
          <w:szCs w:val="30"/>
        </w:rPr>
        <w:t>发</w:t>
      </w:r>
      <w:r>
        <w:rPr>
          <w:b/>
          <w:szCs w:val="30"/>
        </w:rPr>
        <w:t>污染</w:t>
      </w:r>
      <w:r>
        <w:rPr>
          <w:rFonts w:hint="eastAsia"/>
          <w:b/>
          <w:szCs w:val="30"/>
        </w:rPr>
        <w:t>防治</w:t>
      </w:r>
      <w:r>
        <w:rPr>
          <w:b/>
          <w:szCs w:val="30"/>
        </w:rPr>
        <w:t>。</w:t>
      </w:r>
      <w:r>
        <w:rPr>
          <w:szCs w:val="30"/>
        </w:rPr>
        <w:t>矿山开采应严格履行土壤污染防治法定义务，认真做好废渣、废水和废气污染防治工作，采取</w:t>
      </w:r>
      <w:r>
        <w:rPr>
          <w:rFonts w:hint="eastAsia"/>
          <w:szCs w:val="30"/>
        </w:rPr>
        <w:t>切实</w:t>
      </w:r>
      <w:r>
        <w:rPr>
          <w:szCs w:val="30"/>
        </w:rPr>
        <w:t>措施防范土壤污染。加强尾矿库</w:t>
      </w:r>
      <w:r>
        <w:rPr>
          <w:rFonts w:hint="eastAsia"/>
          <w:szCs w:val="30"/>
        </w:rPr>
        <w:t>环境</w:t>
      </w:r>
      <w:r>
        <w:rPr>
          <w:szCs w:val="30"/>
        </w:rPr>
        <w:t>风险防控，危库、险库、病库以及其他需要重点监管尾矿库的运营、管理单位</w:t>
      </w:r>
      <w:r>
        <w:rPr>
          <w:rFonts w:hint="eastAsia"/>
          <w:szCs w:val="30"/>
        </w:rPr>
        <w:t>需</w:t>
      </w:r>
      <w:r>
        <w:rPr>
          <w:szCs w:val="30"/>
        </w:rPr>
        <w:t>按照规定，</w:t>
      </w:r>
      <w:r>
        <w:rPr>
          <w:rFonts w:hint="eastAsia"/>
          <w:szCs w:val="30"/>
        </w:rPr>
        <w:t>开展</w:t>
      </w:r>
      <w:r>
        <w:rPr>
          <w:szCs w:val="30"/>
        </w:rPr>
        <w:t>土壤污染状况监测和定期评估</w:t>
      </w:r>
      <w:r>
        <w:rPr>
          <w:rFonts w:hint="eastAsia"/>
          <w:szCs w:val="30"/>
        </w:rPr>
        <w:t>。推进矿区历史遗留固体废物排查与整治，以马边彝族自治县等矿产资源开发活动集中区域为重点，综合应用卫星遥感、无人机和现场探勘等方式，全面排查矿区无序堆存的历史遗留废物，</w:t>
      </w:r>
      <w:r>
        <w:rPr>
          <w:szCs w:val="30"/>
        </w:rPr>
        <w:t>制定整治方案，分阶段</w:t>
      </w:r>
      <w:r>
        <w:rPr>
          <w:rFonts w:hint="eastAsia"/>
          <w:szCs w:val="30"/>
        </w:rPr>
        <w:t>实施</w:t>
      </w:r>
      <w:r>
        <w:rPr>
          <w:szCs w:val="30"/>
        </w:rPr>
        <w:t>治理，逐步消除存量，降低矿区废物污染灌溉用水或随洪水进入农田的风险。</w:t>
      </w:r>
    </w:p>
    <w:p>
      <w:pPr>
        <w:pStyle w:val="2"/>
        <w:ind w:firstLine="602"/>
        <w:rPr>
          <w:rFonts w:hint="eastAsia" w:eastAsia="仿宋_GB2312"/>
          <w:szCs w:val="30"/>
          <w:lang w:eastAsia="zh-CN"/>
        </w:rPr>
      </w:pPr>
      <w:r>
        <w:rPr>
          <w:rFonts w:hint="eastAsia"/>
          <w:b/>
          <w:szCs w:val="30"/>
        </w:rPr>
        <w:t>强化</w:t>
      </w:r>
      <w:r>
        <w:rPr>
          <w:b/>
          <w:szCs w:val="30"/>
        </w:rPr>
        <w:t>固体废物污染监管。</w:t>
      </w:r>
      <w:r>
        <w:rPr>
          <w:rFonts w:hint="eastAsia"/>
          <w:bCs/>
          <w:szCs w:val="30"/>
        </w:rPr>
        <w:t>以涉危险废物、涉重金属固废堆场为重点，定期开展固体废物堆存场所土壤污染隐患排查，重点企业危险废物暂存间现场检查，督促企业严格落实“三防措施”。强化污水集中处理设施、固体废物处置设施周边土壤监测，防止对周边土壤造成污染。加强生活垃圾分类、收运和处置，提升生活垃圾无害化处理能力</w:t>
      </w:r>
      <w:r>
        <w:rPr>
          <w:rFonts w:hint="eastAsia"/>
          <w:szCs w:val="30"/>
        </w:rPr>
        <w:t>。到2025年，一般工业固体废物综合利用率</w:t>
      </w:r>
      <w:r>
        <w:rPr>
          <w:rFonts w:hint="eastAsia"/>
          <w:szCs w:val="30"/>
          <w:lang w:eastAsia="zh-CN"/>
        </w:rPr>
        <w:t>达</w:t>
      </w:r>
      <w:r>
        <w:rPr>
          <w:rFonts w:hint="eastAsia"/>
          <w:szCs w:val="30"/>
        </w:rPr>
        <w:t>95%</w:t>
      </w:r>
      <w:r>
        <w:rPr>
          <w:rFonts w:hint="eastAsia"/>
          <w:szCs w:val="30"/>
          <w:lang w:eastAsia="zh-CN"/>
        </w:rPr>
        <w:t>。</w:t>
      </w:r>
    </w:p>
    <w:p>
      <w:pPr>
        <w:pStyle w:val="2"/>
        <w:ind w:firstLine="602"/>
      </w:pPr>
      <w:r>
        <w:rPr>
          <w:rFonts w:hint="eastAsia"/>
          <w:b/>
          <w:szCs w:val="30"/>
        </w:rPr>
        <w:t>加快实施矿山和尾矿库生态恢复。</w:t>
      </w:r>
      <w:r>
        <w:rPr>
          <w:rFonts w:hint="eastAsia"/>
          <w:szCs w:val="30"/>
        </w:rPr>
        <w:t>梳理全市遗留矿山企业，进一步加快历史遗留矿山地质环境问题解决步伐，重点解决省级以上自然保护区、省级以上风景名胜区、县级以上城市规划区等重要居民集中区周边和高速铁路、高速公路、国道、省道等重要交通干线的矿山地质环境问题，优先对造成较严重影响以上的历史遗留矿山地质环境问题进行恢复治理，加大闭坑矿山、政策性关闭矿山和国有老矿山历史遗留地质环境问题的治理力度，开展典型矿区的生态治理修复试点示范工作，以区域典型开采矿区为示范点开展不同开采时期矿山复垦和生态修复</w:t>
      </w:r>
      <w:r>
        <w:rPr>
          <w:szCs w:val="30"/>
        </w:rPr>
        <w:t>。</w:t>
      </w:r>
    </w:p>
    <w:p>
      <w:pPr>
        <w:pStyle w:val="5"/>
        <w:ind w:firstLine="643"/>
        <w:rPr>
          <w:rFonts w:eastAsia="仿宋"/>
        </w:rPr>
      </w:pPr>
      <w:r>
        <w:rPr>
          <w:rFonts w:hint="eastAsia" w:eastAsia="仿宋"/>
        </w:rPr>
        <w:t>3.</w:t>
      </w:r>
      <w:r>
        <w:rPr>
          <w:rFonts w:hint="eastAsia" w:ascii="仿宋_GB2312" w:hAnsi="仿宋_GB2312" w:cs="仿宋_GB2312"/>
        </w:rPr>
        <w:t>推进农业污染源防控</w:t>
      </w:r>
    </w:p>
    <w:p>
      <w:pPr>
        <w:ind w:firstLine="602"/>
        <w:rPr>
          <w:szCs w:val="30"/>
        </w:rPr>
      </w:pPr>
      <w:r>
        <w:rPr>
          <w:b/>
          <w:szCs w:val="30"/>
        </w:rPr>
        <w:t>推进化肥农药减量增效。</w:t>
      </w:r>
      <w:r>
        <w:rPr>
          <w:szCs w:val="30"/>
        </w:rPr>
        <w:t>坚持化肥农药减量增效，建设化肥减量增效示范县和果菜茶有机肥替代化肥试点县，进一步提高测土配方技术覆盖率，严格控制化肥农药使用量。发展</w:t>
      </w:r>
      <w:r>
        <w:rPr>
          <w:rFonts w:hint="eastAsia" w:ascii="仿宋_GB2312" w:hAnsi="仿宋_GB2312" w:cs="仿宋_GB2312"/>
          <w:szCs w:val="30"/>
        </w:rPr>
        <w:t>“有机肥替代化肥、绿色防控替代化学防治”、“无人机新型药械应用”等新型农业技术模式，减轻农业面源污染，实现新型技术与</w:t>
      </w:r>
      <w:r>
        <w:rPr>
          <w:szCs w:val="30"/>
        </w:rPr>
        <w:t>传统农业相结合。</w:t>
      </w:r>
    </w:p>
    <w:p>
      <w:pPr>
        <w:ind w:firstLine="602"/>
        <w:rPr>
          <w:szCs w:val="30"/>
        </w:rPr>
      </w:pPr>
      <w:r>
        <w:rPr>
          <w:b/>
          <w:bCs/>
          <w:szCs w:val="30"/>
        </w:rPr>
        <w:t>加强农膜秸秆回收利用。</w:t>
      </w:r>
      <w:r>
        <w:rPr>
          <w:szCs w:val="30"/>
        </w:rPr>
        <w:t>推广普及标准地膜、生物可降解地膜，2025年，</w:t>
      </w:r>
      <w:r>
        <w:rPr>
          <w:rFonts w:hint="eastAsia"/>
          <w:szCs w:val="30"/>
        </w:rPr>
        <w:t>全市</w:t>
      </w:r>
      <w:r>
        <w:rPr>
          <w:rFonts w:hint="eastAsia"/>
          <w:szCs w:val="30"/>
          <w:lang w:eastAsia="zh-CN"/>
        </w:rPr>
        <w:t>废弃</w:t>
      </w:r>
      <w:r>
        <w:rPr>
          <w:szCs w:val="30"/>
        </w:rPr>
        <w:t>农膜回收率</w:t>
      </w:r>
      <w:r>
        <w:rPr>
          <w:szCs w:val="30"/>
          <w:highlight w:val="none"/>
        </w:rPr>
        <w:t>达85%</w:t>
      </w:r>
      <w:r>
        <w:rPr>
          <w:rFonts w:hint="eastAsia"/>
          <w:szCs w:val="30"/>
          <w:highlight w:val="none"/>
        </w:rPr>
        <w:t>以上</w:t>
      </w:r>
      <w:r>
        <w:rPr>
          <w:szCs w:val="30"/>
          <w:highlight w:val="none"/>
        </w:rPr>
        <w:t>。健全秸秆收储供</w:t>
      </w:r>
      <w:r>
        <w:rPr>
          <w:szCs w:val="30"/>
        </w:rPr>
        <w:t>应体系，禁止严格管控类耕地秸秆还田，鼓励安全利用类耕地秸秆离田</w:t>
      </w:r>
      <w:r>
        <w:rPr>
          <w:rFonts w:hint="eastAsia"/>
          <w:szCs w:val="30"/>
          <w:lang w:eastAsia="zh-CN"/>
        </w:rPr>
        <w:t>，秸秆综合利用率稳定在90%以上</w:t>
      </w:r>
      <w:r>
        <w:rPr>
          <w:szCs w:val="30"/>
        </w:rPr>
        <w:t>。构建秸秆利用补偿制度，完善秸秆资源利用台账制度，推进秸秆利用长效化运行。</w:t>
      </w:r>
    </w:p>
    <w:p>
      <w:pPr>
        <w:ind w:firstLine="602"/>
        <w:rPr>
          <w:szCs w:val="30"/>
        </w:rPr>
      </w:pPr>
      <w:r>
        <w:rPr>
          <w:b/>
          <w:szCs w:val="30"/>
        </w:rPr>
        <w:t>推进</w:t>
      </w:r>
      <w:r>
        <w:rPr>
          <w:rFonts w:hint="eastAsia"/>
          <w:b/>
          <w:szCs w:val="30"/>
        </w:rPr>
        <w:t>畜</w:t>
      </w:r>
      <w:r>
        <w:rPr>
          <w:b/>
          <w:szCs w:val="30"/>
        </w:rPr>
        <w:t>禽养殖污染防控。</w:t>
      </w:r>
      <w:r>
        <w:rPr>
          <w:szCs w:val="30"/>
        </w:rPr>
        <w:t>加强规模化畜禽养殖项目建设的环境影响评价，完善设施建设与运行管理。强化规模以下畜禽养殖污染防治，切实履行粪污利用和污染防治主体责任。推动规模化养殖稳定达标排</w:t>
      </w:r>
      <w:r>
        <w:rPr>
          <w:rFonts w:hint="eastAsia" w:ascii="仿宋_GB2312" w:hAnsi="仿宋_GB2312" w:cs="仿宋_GB2312"/>
          <w:szCs w:val="30"/>
        </w:rPr>
        <w:t>放和“近零排放”，</w:t>
      </w:r>
      <w:r>
        <w:rPr>
          <w:szCs w:val="30"/>
        </w:rPr>
        <w:t>在养殖大县推动种养循环试点和实施畜禽粪污资源化利用，严禁粪污未经无害化处理直接还田。</w:t>
      </w:r>
    </w:p>
    <w:p>
      <w:pPr>
        <w:ind w:firstLine="602"/>
        <w:rPr>
          <w:szCs w:val="30"/>
        </w:rPr>
      </w:pPr>
      <w:r>
        <w:rPr>
          <w:rFonts w:hint="eastAsia"/>
          <w:b/>
          <w:szCs w:val="30"/>
        </w:rPr>
        <w:t>加强肥料和灌溉水质量监管。</w:t>
      </w:r>
      <w:r>
        <w:rPr>
          <w:szCs w:val="30"/>
        </w:rPr>
        <w:t>加强肥料质量抽检，确保肥料中镉、汞、砷等有毒有害物质符合国家相关标准要求。加强农田灌溉用水水质监测和监督检查，切实保障农田灌溉用水</w:t>
      </w:r>
      <w:r>
        <w:rPr>
          <w:rFonts w:hint="eastAsia"/>
          <w:szCs w:val="30"/>
        </w:rPr>
        <w:t>需</w:t>
      </w:r>
      <w:r>
        <w:rPr>
          <w:szCs w:val="30"/>
        </w:rPr>
        <w:t>符合相应的水质标准。加强农业灌渠周边重点水污染企业监管，确保污水达标排放。</w:t>
      </w:r>
    </w:p>
    <w:p>
      <w:pPr>
        <w:pStyle w:val="5"/>
        <w:ind w:firstLine="643"/>
        <w:rPr>
          <w:rFonts w:eastAsia="仿宋"/>
        </w:rPr>
      </w:pPr>
      <w:r>
        <w:rPr>
          <w:rFonts w:hint="eastAsia" w:eastAsia="仿宋"/>
        </w:rPr>
        <w:t>4.</w:t>
      </w:r>
      <w:r>
        <w:rPr>
          <w:rFonts w:hint="eastAsia" w:ascii="仿宋_GB2312" w:hAnsi="仿宋_GB2312" w:cs="仿宋_GB2312"/>
        </w:rPr>
        <w:t>加强生活污染源防控</w:t>
      </w:r>
    </w:p>
    <w:p>
      <w:pPr>
        <w:pStyle w:val="2"/>
        <w:ind w:firstLine="602"/>
        <w:rPr>
          <w:szCs w:val="30"/>
        </w:rPr>
      </w:pPr>
      <w:r>
        <w:rPr>
          <w:rFonts w:hint="eastAsia"/>
          <w:b/>
          <w:bCs/>
          <w:szCs w:val="30"/>
        </w:rPr>
        <w:t>强化生活垃圾分类处理。</w:t>
      </w:r>
      <w:r>
        <w:rPr>
          <w:rFonts w:hint="eastAsia"/>
          <w:szCs w:val="30"/>
        </w:rPr>
        <w:t>到2022年底，市中区、五通桥区、沙湾区、金口河区、乐山高新区生活垃圾分类和处置体系基本完善，生活垃圾分类工作力争上升到全省先进水平，其余县、市生活垃圾分类工作全面启动。到2025年，乐山市基本建成生活垃圾分类处理系统；生活垃圾回收利用率达到35%以上，形成可复制、可推广的生活垃圾分类模式；县级城市、乡镇和农村生活垃圾分类工作取得成效。</w:t>
      </w:r>
    </w:p>
    <w:p>
      <w:pPr>
        <w:ind w:firstLine="602"/>
        <w:rPr>
          <w:szCs w:val="30"/>
        </w:rPr>
      </w:pPr>
      <w:r>
        <w:rPr>
          <w:rFonts w:hint="eastAsia"/>
          <w:b/>
          <w:bCs/>
          <w:szCs w:val="30"/>
        </w:rPr>
        <w:t>加强生活垃圾无害化处理。</w:t>
      </w:r>
      <w:r>
        <w:rPr>
          <w:szCs w:val="30"/>
        </w:rPr>
        <w:t>定期开展污水处理厂、垃圾填埋场及焚烧厂周边土壤监督性监测，防止土壤污染。加强生活垃圾分类、收运和处置，提升生活垃圾无害化处理能力，2025年，城市生活垃圾无害化处理率达100%。</w:t>
      </w:r>
    </w:p>
    <w:p>
      <w:pPr>
        <w:pStyle w:val="4"/>
        <w:ind w:firstLine="643"/>
      </w:pPr>
      <w:bookmarkStart w:id="16" w:name="_Toc12791"/>
      <w:r>
        <w:rPr>
          <w:rFonts w:hint="eastAsia"/>
        </w:rPr>
        <w:t>（三）强化土壤风险管控和治理修复</w:t>
      </w:r>
      <w:bookmarkEnd w:id="16"/>
    </w:p>
    <w:p>
      <w:pPr>
        <w:pStyle w:val="5"/>
        <w:ind w:firstLine="643"/>
        <w:rPr>
          <w:rFonts w:ascii="仿宋_GB2312" w:hAnsi="仿宋_GB2312" w:cs="仿宋_GB2312"/>
        </w:rPr>
      </w:pPr>
      <w:r>
        <w:rPr>
          <w:rFonts w:hint="eastAsia" w:eastAsia="仿宋"/>
        </w:rPr>
        <w:t>1.</w:t>
      </w:r>
      <w:r>
        <w:rPr>
          <w:rFonts w:hint="eastAsia" w:ascii="仿宋_GB2312" w:hAnsi="仿宋_GB2312" w:cs="仿宋_GB2312"/>
        </w:rPr>
        <w:t>加强农用地分类管控</w:t>
      </w:r>
    </w:p>
    <w:p>
      <w:pPr>
        <w:ind w:firstLine="602"/>
        <w:rPr>
          <w:szCs w:val="30"/>
        </w:rPr>
      </w:pPr>
      <w:r>
        <w:rPr>
          <w:rFonts w:hint="eastAsia"/>
          <w:b/>
          <w:szCs w:val="30"/>
        </w:rPr>
        <w:t>加大优先保护类耕地保护力度。</w:t>
      </w:r>
      <w:r>
        <w:rPr>
          <w:szCs w:val="30"/>
        </w:rPr>
        <w:t>依法将符合条件的优先保护类耕地划为永久基本农田，实行严格保护，在永久基本农田集中区域，不得规划新建可能造成土壤污染的建设项目，已经建成的，限期关闭拆除。定期开展优先保护类耕地土壤质量监测，确保其面积不减少、土壤环境质量不下降；持续推进受污染耕地安全利用，严格落实受污染耕地安全利用方案，推广应用品种替代、水肥调控、土壤调理等技术；加强严格管控类耕地监管，划定特定农产品禁止生产区域，确保严格管控类耕地得到有效管控。鼓励采取种植结构调整、退耕还林还草等措施保障严格管控类耕地安全利用，加强严格管控类耕地土壤和农产品协同监测与评价。</w:t>
      </w:r>
    </w:p>
    <w:p>
      <w:pPr>
        <w:ind w:firstLine="602"/>
        <w:rPr>
          <w:szCs w:val="30"/>
        </w:rPr>
      </w:pPr>
      <w:r>
        <w:rPr>
          <w:rFonts w:hint="eastAsia"/>
          <w:b/>
          <w:bCs/>
        </w:rPr>
        <w:t>巩固提升受污染耕地安全利用水平</w:t>
      </w:r>
      <w:r>
        <w:rPr>
          <w:b/>
          <w:bCs/>
        </w:rPr>
        <w:t>。</w:t>
      </w:r>
      <w:r>
        <w:rPr>
          <w:szCs w:val="30"/>
        </w:rPr>
        <w:t>制</w:t>
      </w:r>
      <w:r>
        <w:rPr>
          <w:rFonts w:hint="eastAsia" w:ascii="仿宋_GB2312" w:hAnsi="仿宋_GB2312" w:cs="仿宋_GB2312"/>
          <w:szCs w:val="30"/>
        </w:rPr>
        <w:t>定“十四五”耕地安</w:t>
      </w:r>
      <w:r>
        <w:rPr>
          <w:szCs w:val="30"/>
        </w:rPr>
        <w:t>全利用方案及年度工作计划，积极开展污染成因分析，探索低积累品种和农艺调控措施等技术，</w:t>
      </w:r>
      <w:r>
        <w:t>总结农用地安全利用与修复技术模式，分区分类建立完善安全利用技术</w:t>
      </w:r>
      <w:r>
        <w:rPr>
          <w:szCs w:val="30"/>
        </w:rPr>
        <w:t>。成立安全利用类耕地专家指导组，加强对安全利用工作的指导。</w:t>
      </w:r>
    </w:p>
    <w:p>
      <w:pPr>
        <w:ind w:firstLine="602"/>
        <w:rPr>
          <w:szCs w:val="30"/>
        </w:rPr>
      </w:pPr>
      <w:r>
        <w:rPr>
          <w:rFonts w:hint="eastAsia"/>
          <w:b/>
          <w:bCs/>
          <w:szCs w:val="30"/>
        </w:rPr>
        <w:t>全面落实严格管控类耕地风险管控</w:t>
      </w:r>
      <w:r>
        <w:rPr>
          <w:b/>
          <w:bCs/>
          <w:szCs w:val="30"/>
        </w:rPr>
        <w:t>。</w:t>
      </w:r>
      <w:r>
        <w:rPr>
          <w:rFonts w:hint="eastAsia"/>
          <w:szCs w:val="30"/>
        </w:rPr>
        <w:t>加强严格管控类耕地监管，依法划定特定农产品禁止生产区域，试点开展勘界定标，建立台账等措施，</w:t>
      </w:r>
      <w:r>
        <w:rPr>
          <w:szCs w:val="30"/>
        </w:rPr>
        <w:t>确保</w:t>
      </w:r>
      <w:r>
        <w:rPr>
          <w:rFonts w:hint="eastAsia"/>
          <w:szCs w:val="30"/>
        </w:rPr>
        <w:t>严格管控类耕地得到有效管控。鼓励采取种植结构调整、退耕还林还草等措施保障严格管控类耕地安全利用。加强严格管控类耕地土壤和农产品协同监测与评价</w:t>
      </w:r>
      <w:r>
        <w:rPr>
          <w:szCs w:val="30"/>
        </w:rPr>
        <w:t>。将列入严格管控类且无法恢复治理的耕地，</w:t>
      </w:r>
      <w:r>
        <w:rPr>
          <w:rFonts w:hint="eastAsia"/>
          <w:szCs w:val="30"/>
        </w:rPr>
        <w:t>移出基本农田，</w:t>
      </w:r>
      <w:r>
        <w:rPr>
          <w:szCs w:val="30"/>
        </w:rPr>
        <w:t>对粮食生产功能区和重要农产品生产保护区进行相应调整</w:t>
      </w:r>
      <w:r>
        <w:rPr>
          <w:rFonts w:hint="eastAsia"/>
          <w:szCs w:val="30"/>
        </w:rPr>
        <w:t>。鼓励有条件的地区通过客土置换、生物修复等措施降低土壤中污染物浓度。</w:t>
      </w:r>
    </w:p>
    <w:p>
      <w:pPr>
        <w:pStyle w:val="2"/>
        <w:ind w:firstLine="602"/>
        <w:rPr>
          <w:szCs w:val="30"/>
        </w:rPr>
      </w:pPr>
      <w:r>
        <w:rPr>
          <w:rFonts w:hint="eastAsia"/>
          <w:b/>
          <w:szCs w:val="30"/>
        </w:rPr>
        <w:t>加强复垦农用地污染管控。</w:t>
      </w:r>
      <w:r>
        <w:rPr>
          <w:rFonts w:hint="eastAsia"/>
          <w:bCs/>
          <w:szCs w:val="30"/>
        </w:rPr>
        <w:t>未利用地、复垦土地等拟开垦为耕地的，应进行土壤污染状况调查，依法进行分类管理。</w:t>
      </w:r>
      <w:r>
        <w:rPr>
          <w:rFonts w:hint="eastAsia"/>
          <w:color w:val="000000" w:themeColor="text1"/>
          <w:szCs w:val="30"/>
        </w:rPr>
        <w:t>不鼓励</w:t>
      </w:r>
      <w:r>
        <w:rPr>
          <w:rFonts w:hint="eastAsia"/>
          <w:szCs w:val="30"/>
        </w:rPr>
        <w:t>曾用于生产、使用、贮存、回收、处置有毒有害物质的工矿用地复垦为食用农产品耕地。确需复垦为食用农产品耕地的，应确保农用地风险管控标准之外的特征污染物不超过所在地土壤环境背景值。定期开展复垦农用地土壤环境与农产品质量监测，确保农产品质量安全。</w:t>
      </w:r>
    </w:p>
    <w:p>
      <w:pPr>
        <w:ind w:firstLine="602"/>
        <w:rPr>
          <w:szCs w:val="30"/>
        </w:rPr>
      </w:pPr>
      <w:r>
        <w:rPr>
          <w:rFonts w:hint="eastAsia"/>
          <w:b/>
          <w:bCs/>
          <w:szCs w:val="30"/>
        </w:rPr>
        <w:t>加强农用地及农产品协同监测。</w:t>
      </w:r>
      <w:r>
        <w:rPr>
          <w:szCs w:val="30"/>
        </w:rPr>
        <w:t>根据农用地详查结果，开展农产品污染物含量超标区土壤与农产品协同监测，分析污染情况、污染成因等，并制定相关措施方案。开展重点监管单位及工业园区周边区域农用地监测，其中要以涉镉等重金属周边农用地监测、复垦土地监测为重点。</w:t>
      </w:r>
    </w:p>
    <w:p>
      <w:pPr>
        <w:ind w:firstLine="602"/>
        <w:rPr>
          <w:szCs w:val="30"/>
        </w:rPr>
      </w:pPr>
      <w:r>
        <w:rPr>
          <w:rFonts w:hint="eastAsia"/>
          <w:b/>
          <w:szCs w:val="30"/>
        </w:rPr>
        <w:t>开展</w:t>
      </w:r>
      <w:r>
        <w:rPr>
          <w:b/>
          <w:szCs w:val="30"/>
        </w:rPr>
        <w:t>农用地土壤污染治理与修复</w:t>
      </w:r>
      <w:r>
        <w:rPr>
          <w:rFonts w:hint="eastAsia"/>
          <w:b/>
          <w:szCs w:val="30"/>
        </w:rPr>
        <w:t>试点</w:t>
      </w:r>
      <w:r>
        <w:rPr>
          <w:b/>
          <w:szCs w:val="30"/>
        </w:rPr>
        <w:t>。</w:t>
      </w:r>
      <w:r>
        <w:rPr>
          <w:rFonts w:hint="eastAsia"/>
          <w:szCs w:val="30"/>
        </w:rPr>
        <w:t>因地制宜，适度开展污染农用地治理和修复，对产出的农产品污染物含量超标确需实施修复的农用地地块开展治理修复。以耕地镉污染为重点，在根据不同土壤类型、污染程度，以及主栽农产品超标程度，选择典型受污染耕地，在切断重金属污染源头的前提下，推进以降低土壤污染物含量为目的的修复试点工作。</w:t>
      </w:r>
    </w:p>
    <w:p>
      <w:pPr>
        <w:pStyle w:val="2"/>
        <w:ind w:firstLine="602"/>
        <w:rPr>
          <w:bCs/>
          <w:szCs w:val="30"/>
        </w:rPr>
      </w:pPr>
      <w:r>
        <w:rPr>
          <w:b/>
          <w:bCs/>
          <w:szCs w:val="30"/>
        </w:rPr>
        <w:t>动态调整土壤环境质量类别。</w:t>
      </w:r>
      <w:r>
        <w:rPr>
          <w:rFonts w:hint="eastAsia"/>
          <w:szCs w:val="30"/>
        </w:rPr>
        <w:t>应用第三次全国国土调查成果数据，</w:t>
      </w:r>
      <w:r>
        <w:rPr>
          <w:szCs w:val="30"/>
        </w:rPr>
        <w:t>根据农用地重点地块监测、农产品监测、治理修复效果评估等</w:t>
      </w:r>
      <w:r>
        <w:rPr>
          <w:rFonts w:hint="eastAsia"/>
          <w:szCs w:val="30"/>
        </w:rPr>
        <w:t>数据</w:t>
      </w:r>
      <w:r>
        <w:rPr>
          <w:szCs w:val="30"/>
        </w:rPr>
        <w:t>，对土壤环境质量发生变化的</w:t>
      </w:r>
      <w:r>
        <w:rPr>
          <w:rFonts w:hint="eastAsia"/>
          <w:szCs w:val="30"/>
        </w:rPr>
        <w:t>开展</w:t>
      </w:r>
      <w:r>
        <w:rPr>
          <w:szCs w:val="30"/>
        </w:rPr>
        <w:t>进一步调查，动态调整农用地土壤环境质量类别，并将清单上传全国土壤环境信息化管理平台。</w:t>
      </w:r>
      <w:r>
        <w:rPr>
          <w:bCs/>
          <w:szCs w:val="30"/>
        </w:rPr>
        <w:t>逐步推进园地、草地土壤环境质量类别划定。</w:t>
      </w:r>
    </w:p>
    <w:p>
      <w:pPr>
        <w:pStyle w:val="5"/>
        <w:ind w:firstLine="643"/>
      </w:pPr>
      <w:r>
        <w:t>2</w:t>
      </w:r>
      <w:r>
        <w:rPr>
          <w:rFonts w:hint="eastAsia"/>
        </w:rPr>
        <w:t>.加强建设用地风险管控</w:t>
      </w:r>
    </w:p>
    <w:p>
      <w:pPr>
        <w:ind w:firstLine="602"/>
      </w:pPr>
      <w:r>
        <w:rPr>
          <w:b/>
          <w:bCs/>
        </w:rPr>
        <w:t>加强</w:t>
      </w:r>
      <w:r>
        <w:rPr>
          <w:rFonts w:hint="eastAsia"/>
          <w:b/>
          <w:bCs/>
        </w:rPr>
        <w:t>土地</w:t>
      </w:r>
      <w:r>
        <w:rPr>
          <w:b/>
          <w:bCs/>
        </w:rPr>
        <w:t>空间管控。</w:t>
      </w:r>
      <w:r>
        <w:t>落实</w:t>
      </w:r>
      <w:r>
        <w:rPr>
          <w:rFonts w:hint="eastAsia" w:ascii="仿宋_GB2312" w:hAnsi="仿宋_GB2312" w:cs="仿宋_GB2312"/>
        </w:rPr>
        <w:t>“三线一单”分</w:t>
      </w:r>
      <w:r>
        <w:t>区管控要求，加强规划区划和建设项目布局论证，根据土壤环境承载能力和区域特点，合理确定区域功能定位、空间布局</w:t>
      </w:r>
      <w:r>
        <w:rPr>
          <w:rFonts w:hint="eastAsia"/>
        </w:rPr>
        <w:t>，加强布局在沿江、靠河、临城、近耕地等环境敏感区域的化工企业和工业园区的环保可行性论证，加强相关企业和园区的环保基础设施建设和土壤风险管控。</w:t>
      </w:r>
      <w:r>
        <w:t>禁止在居民区、学校、医院、疗养院和养老院等单位周边新、改、扩建可能造成土壤污染的建设项目</w:t>
      </w:r>
      <w:r>
        <w:rPr>
          <w:rFonts w:hint="eastAsia"/>
        </w:rPr>
        <w:t>。</w:t>
      </w:r>
      <w:r>
        <w:t>结合新型城镇化、产业结构调整和化解过剩产能等要求，有序搬迁或依法关闭对土壤造成严重污染的企业。科学布局生活垃圾处理、危险废物处置、废旧资源再生利用等设施和场所。</w:t>
      </w:r>
    </w:p>
    <w:p>
      <w:pPr>
        <w:pStyle w:val="2"/>
        <w:ind w:firstLine="602"/>
        <w:rPr>
          <w:szCs w:val="30"/>
        </w:rPr>
      </w:pPr>
      <w:r>
        <w:rPr>
          <w:rFonts w:hint="eastAsia"/>
          <w:b/>
          <w:bCs/>
          <w:szCs w:val="30"/>
        </w:rPr>
        <w:t>严格建设用地准入。</w:t>
      </w:r>
      <w:r>
        <w:rPr>
          <w:rFonts w:hint="eastAsia" w:ascii="仿宋_GB2312" w:hAnsi="仿宋_GB2312" w:cs="仿宋_GB2312"/>
          <w:szCs w:val="30"/>
        </w:rPr>
        <w:t>严格污染地块用途规划，加强各部门沟通协调，市局及县（市、区）自然资源等部门在编制国土空间规划等相关规划时，应充分考虑建设用地土壤污染的环境风险，合理确定土地用途。严格建设用地再开发利用地块调查评估、风险管控、修复和效果评估，及时将相关资料和技术报告上传全国污染地块土壤环境管理系统，对纳入《四川省建设用地土壤污染风险管控和修复名录》的地块，不得作为住宅、公共管理与公共服务用地，依法需开展土壤污染状况调查或风险评估而未开展或尚未完成调查评估的地块，以及未达到土壤污染风险评估报告确定的风险管控、修复目标的建设用地地块，禁止开工建设任何与风险管控、修复无关的项目。完善准入管理机制，采取“净土收储”“净土供应”“净土开发”，落实污染地块准入管理要求。严格污染地块准入，正在开展土壤污染状况调查或风险评估以及依法需开展土壤污染状况调查或风险评估而未开展的，未达到土壤污染风险评估报告确定的风险管控、修复目标的建设用地地块，不得批准供地方案</w:t>
      </w:r>
      <w:r>
        <w:rPr>
          <w:szCs w:val="30"/>
        </w:rPr>
        <w:t>。</w:t>
      </w:r>
    </w:p>
    <w:p>
      <w:pPr>
        <w:ind w:firstLine="602"/>
      </w:pPr>
      <w:r>
        <w:rPr>
          <w:b/>
          <w:bCs/>
        </w:rPr>
        <w:t>合理规划污染地块用途。</w:t>
      </w:r>
      <w:r>
        <w:t>各级自然资源等部门在编制国土空间等相关规划时，应充分考虑建设用地土壤污染的环境风险，合理确定土地用途。原则上，国土空间规划方案提交审议前，对涉及依法</w:t>
      </w:r>
      <w:r>
        <w:rPr>
          <w:rFonts w:hint="eastAsia"/>
        </w:rPr>
        <w:t>需</w:t>
      </w:r>
      <w:r>
        <w:t>开展土壤污染状况调查的地块，</w:t>
      </w:r>
      <w:r>
        <w:rPr>
          <w:rFonts w:hint="eastAsia"/>
        </w:rPr>
        <w:t>需</w:t>
      </w:r>
      <w:r>
        <w:t>完成调查和风险评估；规划方案已审议但未报批的，应在规划方案和供地方案报批前完成调查和风险评估；供地方案已报批的，应在签订土地出让合同前完成调查和风险评估。从严管控农药、化工等行业中的重度污染地块规划用途，确需开发利用的，鼓励用于拓展生态空间。对确定用途变更为住宅、公共管理与公共服务用地的污染地块（以其控制性详细规划获批时间为准），</w:t>
      </w:r>
      <w:r>
        <w:rPr>
          <w:rFonts w:hint="eastAsia"/>
        </w:rPr>
        <w:t>需</w:t>
      </w:r>
      <w:r>
        <w:t>在控制性详细规划中载明后续土壤污染风险管控和修复活动的原则性要求。</w:t>
      </w:r>
    </w:p>
    <w:p>
      <w:pPr>
        <w:pStyle w:val="2"/>
        <w:ind w:firstLine="602"/>
      </w:pPr>
      <w:r>
        <w:rPr>
          <w:b/>
          <w:bCs/>
        </w:rPr>
        <w:t>推进污染地块分区开发试点。</w:t>
      </w:r>
      <w:r>
        <w:t>涉及成片污染地块分期分批以及污染地块周边土地开发的，应合理优化开发时序，原则上优先开发工业用地、物流仓储用地等，后开发住宅、公共管理与公共服务等敏感类用地，防止受污染土壤及其后续风险管控和修复影响周边拟入住敏感人群，并防止引发负面舆情。对暂不开发利用的污染地块，应采取风险管控措施，设立标识、发布公告，防止污染扩散。</w:t>
      </w:r>
    </w:p>
    <w:p>
      <w:pPr>
        <w:pStyle w:val="2"/>
        <w:ind w:firstLine="602"/>
        <w:rPr>
          <w:szCs w:val="30"/>
        </w:rPr>
      </w:pPr>
      <w:r>
        <w:rPr>
          <w:b/>
          <w:bCs/>
        </w:rPr>
        <w:t>有序推进建设用地土壤污染治理与修复。</w:t>
      </w:r>
      <w:r>
        <w:rPr>
          <w:szCs w:val="30"/>
        </w:rPr>
        <w:t>以用途变更为住宅、公共管理和公共服务用地和人口密集区危化品生产企业搬迁改造等专项行动遗留地块为重点，有序推进建设用地土壤污染风险管控和修复名录中地块的治理修复。加强建设用地治理修复过程监管，严格处置治理与修复过程中产生的废水、废气和固体废弃物，防止对地块及周边环境造成二次污染。强化治理修复过程中污染土壤转运管控。加强修复效果评估和信息公开，实行土壤污染治理与修复终身责任制。</w:t>
      </w:r>
    </w:p>
    <w:p>
      <w:pPr>
        <w:ind w:firstLine="602"/>
      </w:pPr>
      <w:r>
        <w:rPr>
          <w:b/>
          <w:bCs/>
        </w:rPr>
        <w:t>落实暂不开发污染地块风险管控。</w:t>
      </w:r>
      <w:r>
        <w:t>生态环境主管部门主动对接当地自然资源与规划部门，掌握辖区内列入《四川省建设用地土壤污染风险管控和修复名录》的地块开发计划，对半年内暂不开发利用或不具备修复条件的地块，应在录入名录后6个月内，按照《四川省暂不开发利用污染地块风险管控工作指南》要求，制定风险管控方案，并组织实施。</w:t>
      </w:r>
    </w:p>
    <w:p>
      <w:pPr>
        <w:ind w:firstLine="602"/>
        <w:rPr>
          <w:rFonts w:hint="eastAsia"/>
          <w:szCs w:val="30"/>
        </w:rPr>
      </w:pPr>
      <w:r>
        <w:rPr>
          <w:rFonts w:hint="eastAsia"/>
          <w:b/>
          <w:bCs/>
        </w:rPr>
        <w:t>加强重点单位和园区长期监管。</w:t>
      </w:r>
      <w:r>
        <w:rPr>
          <w:szCs w:val="30"/>
        </w:rPr>
        <w:t>除定期开展自行监测、监督性监测外，还应加强重点监管单位和园区</w:t>
      </w:r>
      <w:r>
        <w:rPr>
          <w:rFonts w:hint="eastAsia"/>
          <w:szCs w:val="30"/>
        </w:rPr>
        <w:t>日常监管工作</w:t>
      </w:r>
      <w:r>
        <w:rPr>
          <w:szCs w:val="30"/>
        </w:rPr>
        <w:t>。</w:t>
      </w:r>
      <w:r>
        <w:rPr>
          <w:rFonts w:hint="eastAsia"/>
          <w:szCs w:val="30"/>
        </w:rPr>
        <w:t>长期开展重点监管单位和工业园区监管巡查工作，对于日常监管中发现的问题督促企业及时完成整改。</w:t>
      </w:r>
      <w:r>
        <w:rPr>
          <w:szCs w:val="30"/>
        </w:rPr>
        <w:t>持续推进乐山（五通桥）盐磷化工循环产业</w:t>
      </w:r>
      <w:r>
        <w:rPr>
          <w:rFonts w:hint="eastAsia"/>
          <w:szCs w:val="30"/>
        </w:rPr>
        <w:t>园区</w:t>
      </w:r>
      <w:r>
        <w:rPr>
          <w:rFonts w:hint="eastAsia"/>
          <w:szCs w:val="30"/>
          <w:lang w:eastAsia="zh-CN"/>
        </w:rPr>
        <w:t>等园区</w:t>
      </w:r>
      <w:r>
        <w:rPr>
          <w:rFonts w:hint="eastAsia"/>
          <w:szCs w:val="30"/>
        </w:rPr>
        <w:t>水气土协同预警体系建设。</w:t>
      </w:r>
    </w:p>
    <w:p>
      <w:pPr>
        <w:pStyle w:val="5"/>
        <w:ind w:firstLine="643"/>
      </w:pPr>
      <w:r>
        <w:rPr>
          <w:rFonts w:hint="eastAsia"/>
        </w:rPr>
        <w:t>3.加强未利用地监管</w:t>
      </w:r>
    </w:p>
    <w:p>
      <w:pPr>
        <w:ind w:firstLine="602"/>
      </w:pPr>
      <w:r>
        <w:rPr>
          <w:b/>
          <w:bCs/>
        </w:rPr>
        <w:t>加强未利用地监管。</w:t>
      </w:r>
      <w:r>
        <w:t>严格按照法律法规和相关规划</w:t>
      </w:r>
      <w:r>
        <w:rPr>
          <w:rFonts w:hint="eastAsia"/>
        </w:rPr>
        <w:t>要求</w:t>
      </w:r>
      <w:r>
        <w:t>，加强未利用地保护</w:t>
      </w:r>
      <w:r>
        <w:rPr>
          <w:rFonts w:hint="eastAsia"/>
        </w:rPr>
        <w:t>，</w:t>
      </w:r>
      <w:r>
        <w:t>严守生态安全底线，对划入生态保护红线内的未利用地，实行强制性保护。依法严查向滩涂、湿地、沼泽地等非法排污、倾倒有毒有害物质的环境违法犯罪行为。加强对矿山等矿产资源开采活动影响区域内未利用地的环境监管，发现土壤污染问题的，应及时督促有关</w:t>
      </w:r>
      <w:r>
        <w:rPr>
          <w:rFonts w:hint="eastAsia"/>
        </w:rPr>
        <w:t>单位</w:t>
      </w:r>
      <w:r>
        <w:t>采取防治措施。未利用地拟开垦为</w:t>
      </w:r>
      <w:r>
        <w:rPr>
          <w:rFonts w:hint="eastAsia"/>
        </w:rPr>
        <w:t>住宅、公共管理与公共服务用地的</w:t>
      </w:r>
      <w:r>
        <w:t>，</w:t>
      </w:r>
      <w:r>
        <w:rPr>
          <w:rFonts w:hint="eastAsia"/>
        </w:rPr>
        <w:t>需依法</w:t>
      </w:r>
      <w:r>
        <w:t>进行土壤污染状况调查。</w:t>
      </w:r>
    </w:p>
    <w:p>
      <w:pPr>
        <w:ind w:firstLine="602"/>
      </w:pPr>
      <w:r>
        <w:rPr>
          <w:rFonts w:hint="eastAsia"/>
          <w:b/>
          <w:bCs/>
        </w:rPr>
        <w:t>加强土壤资源的保护和合理利用。</w:t>
      </w:r>
      <w:r>
        <w:rPr>
          <w:rFonts w:hint="eastAsia"/>
        </w:rPr>
        <w:t>对开发建设过程中剥离的表土，需单独收集和存放，符合条件的需优先用于土地复垦、土壤改良、造地和绿化等。探索建立表层土壤剥离、存储、管理、交易、使用等全过程的工作机制，推进开发建设过程中剥离表土的收集和利用。加强开发建设过程中剥离的表土收集、存放执法检查。</w:t>
      </w:r>
    </w:p>
    <w:p>
      <w:pPr>
        <w:pStyle w:val="5"/>
        <w:ind w:firstLine="643"/>
      </w:pPr>
      <w:r>
        <w:rPr>
          <w:rFonts w:hint="eastAsia"/>
        </w:rPr>
        <w:t>4.推进长江黄河上游风险管控区建设</w:t>
      </w:r>
    </w:p>
    <w:p>
      <w:pPr>
        <w:bidi w:val="0"/>
      </w:pPr>
      <w:r>
        <w:rPr>
          <w:rFonts w:hint="eastAsia"/>
          <w:b/>
          <w:bCs/>
        </w:rPr>
        <w:t>建立土壤风险源管控清单。</w:t>
      </w:r>
      <w:r>
        <w:rPr>
          <w:rFonts w:hint="eastAsia"/>
        </w:rPr>
        <w:t>以重点行业企业用地调查、农用地土壤污染状况详查、“三线一单”和隐患排查、自行监测、监督性监测为基础，持续整合农用地加密调查、背景值专项调查和重点行业企业补充调查成果，建立土壤污染源数据库。以土壤污染源数据库为基础，开展现场实地调研和补充监测，建立土壤污染风险源管控清单。开展风险源管控清单点位风险等级划定，形成高、中、低风险等级一览表。</w:t>
      </w:r>
    </w:p>
    <w:p>
      <w:pPr>
        <w:bidi w:val="0"/>
      </w:pPr>
      <w:bookmarkStart w:id="17" w:name="_Hlk78962477"/>
      <w:r>
        <w:rPr>
          <w:rFonts w:hint="eastAsia"/>
          <w:b/>
          <w:bCs/>
        </w:rPr>
        <w:t>开展风险管理分区。</w:t>
      </w:r>
      <w:r>
        <w:rPr>
          <w:rFonts w:hint="eastAsia"/>
        </w:rPr>
        <w:t>开展风险管理分区划定，以风险源管控清单为基础，明确各区风险主导因子，形成乐山市土壤环境风险“一张图”</w:t>
      </w:r>
      <w:bookmarkEnd w:id="17"/>
      <w:r>
        <w:rPr>
          <w:rFonts w:hint="eastAsia"/>
        </w:rPr>
        <w:t>。以土壤环境风险区域特征基础，制定分区域管控方案，落实“一区一策”管理措施。根据环境风险可接受水平和区域风险源清单的变化，按年度开展风险管理分区管控方案动态调整，为区域土壤环境风险动态管理提供依据。</w:t>
      </w:r>
    </w:p>
    <w:p>
      <w:pPr>
        <w:bidi w:val="0"/>
        <w:rPr>
          <w:szCs w:val="30"/>
        </w:rPr>
      </w:pPr>
      <w:r>
        <w:rPr>
          <w:rFonts w:hint="eastAsia"/>
          <w:b/>
          <w:bCs/>
        </w:rPr>
        <w:t>开展分区管控试点区建设。</w:t>
      </w:r>
      <w:r>
        <w:rPr>
          <w:rFonts w:hint="eastAsia"/>
        </w:rPr>
        <w:t>加快推进五通桥区管控试点区建设，开展土壤风险分区和分区管控方案编制。加强试点区在土壤环境综合整治、农用地安全利用与修复治理模式、污染地块风险管控与修复适用技术、在产企业风险评估和管控措施、土壤污染防治产业链等方面先行先试。强化试点区在土壤污染防治政策、制度、技术、管理、人才和资金等方面开拓创新和总结。</w:t>
      </w:r>
    </w:p>
    <w:p>
      <w:pPr>
        <w:pStyle w:val="4"/>
        <w:ind w:firstLine="643"/>
      </w:pPr>
      <w:bookmarkStart w:id="18" w:name="_Toc16679"/>
      <w:r>
        <w:rPr>
          <w:rFonts w:hint="eastAsia"/>
        </w:rPr>
        <w:t>（四）强化土壤污染防治能力建设</w:t>
      </w:r>
      <w:bookmarkEnd w:id="18"/>
    </w:p>
    <w:p>
      <w:pPr>
        <w:pStyle w:val="5"/>
        <w:ind w:firstLine="643"/>
      </w:pPr>
      <w:r>
        <w:t>1.突出领域能力建设</w:t>
      </w:r>
    </w:p>
    <w:p>
      <w:pPr>
        <w:bidi w:val="0"/>
      </w:pPr>
      <w:r>
        <w:rPr>
          <w:b/>
          <w:bCs/>
        </w:rPr>
        <w:t>提升土壤环境监测</w:t>
      </w:r>
      <w:r>
        <w:rPr>
          <w:rFonts w:hint="eastAsia"/>
          <w:b/>
          <w:bCs/>
        </w:rPr>
        <w:t>能力</w:t>
      </w:r>
      <w:r>
        <w:rPr>
          <w:b/>
          <w:bCs/>
        </w:rPr>
        <w:t>。</w:t>
      </w:r>
      <w:r>
        <w:t>加大人才引进和设备购置，提升</w:t>
      </w:r>
      <w:r>
        <w:rPr>
          <w:rFonts w:hint="eastAsia"/>
        </w:rPr>
        <w:t>四川省乐山生态环境监测中心站</w:t>
      </w:r>
      <w:r>
        <w:t>土壤有机污染物监测能力和各县（市、区）级土壤重金属监测能力。到2025年，</w:t>
      </w:r>
      <w:r>
        <w:rPr>
          <w:rFonts w:hint="eastAsia"/>
        </w:rPr>
        <w:t>四川省乐山生态环境监测中心站</w:t>
      </w:r>
      <w:r>
        <w:rPr>
          <w:rFonts w:hint="eastAsia"/>
          <w:lang w:eastAsia="zh-CN"/>
        </w:rPr>
        <w:t>基本</w:t>
      </w:r>
      <w:r>
        <w:t>具备GB36600中基本项目和GB15618全部项目监测能力，</w:t>
      </w:r>
      <w:r>
        <w:rPr>
          <w:rFonts w:hint="eastAsia"/>
          <w:lang w:eastAsia="zh-CN"/>
        </w:rPr>
        <w:t>部分</w:t>
      </w:r>
      <w:r>
        <w:t>县（市、区）监测站具备GB15618中基本项目监测能力。</w:t>
      </w:r>
    </w:p>
    <w:p>
      <w:pPr>
        <w:bidi w:val="0"/>
      </w:pPr>
      <w:r>
        <w:rPr>
          <w:rFonts w:hint="eastAsia"/>
          <w:b/>
          <w:bCs/>
        </w:rPr>
        <w:t>提升土壤监管信息化能力。</w:t>
      </w:r>
      <w:r>
        <w:rPr>
          <w:rFonts w:hint="eastAsia"/>
        </w:rPr>
        <w:t>借力四川省土壤环境质量信息系统，整合重点监管单位、工业园区、污染地块等信息、数据，建立并动态管理土壤污染风险源管控清单。开展矿山和尾矿库环境风险分级，建立矿山和尾矿库优先管控名录。建立土壤污染重点工矿企业从生产到关闭全过程源-途径-受体调查、评估、治理修复的环境管理及响应系统，实现污染物产生到处理处置、土壤风险变化趋势预测全过程动态化监管。强化土壤环境预警、预测和监测，加强重点园区、重点企业、重点污染场地全过程监管。</w:t>
      </w:r>
    </w:p>
    <w:p>
      <w:pPr>
        <w:bidi w:val="0"/>
      </w:pPr>
      <w:r>
        <w:rPr>
          <w:b/>
          <w:bCs/>
        </w:rPr>
        <w:t>强化执法和应急能力建设。</w:t>
      </w:r>
      <w:r>
        <w:t>全面加强土壤环境监管执法队伍建设，完善人员队伍配置，配齐</w:t>
      </w:r>
      <w:r>
        <w:rPr>
          <w:rFonts w:hint="eastAsia"/>
        </w:rPr>
        <w:t>手持式土壤重金属检测仪</w:t>
      </w:r>
      <w:r>
        <w:t>（XRF）、</w:t>
      </w:r>
      <w:r>
        <w:rPr>
          <w:rFonts w:hint="eastAsia"/>
        </w:rPr>
        <w:t>便携式有机物快速测定仪</w:t>
      </w:r>
      <w:r>
        <w:t>（PID）等土壤污染快速检测、调查取证等执法装备，积极参加土壤污染防治专业技术培训。建立土壤污染应急机制，持续完善各级土壤环境污染事件应急预案，提高突发环境事件应急能力。加强土壤环境应急管理、技术装备支撑、处置救援能力建设。</w:t>
      </w:r>
    </w:p>
    <w:p>
      <w:pPr>
        <w:pStyle w:val="5"/>
        <w:ind w:firstLine="643"/>
      </w:pPr>
      <w:r>
        <w:t>2.加强现代先进技术应用</w:t>
      </w:r>
    </w:p>
    <w:p>
      <w:pPr>
        <w:bidi w:val="0"/>
      </w:pPr>
      <w:r>
        <w:rPr>
          <w:rFonts w:hint="eastAsia"/>
          <w:b/>
          <w:bCs/>
        </w:rPr>
        <w:t>加强大数据技术应用。</w:t>
      </w:r>
      <w:r>
        <w:rPr>
          <w:rFonts w:hint="eastAsia"/>
        </w:rPr>
        <w:t>依托四川省土壤环境质量信息平台，建立土壤环境质量大数据库。开展大数据综合分析，在大数据库基础上，通过地理信息系统（GIS）技术叠加基础底图和行政区域的划分等形成专题数据库，对相关数据进行管理和分析。加强土壤污染重点监管单位各年度自行监测、监督性监测数据统计和变化趋势分析，开展在产企业土壤污染风险评价和预警预测。</w:t>
      </w:r>
    </w:p>
    <w:p>
      <w:pPr>
        <w:bidi w:val="0"/>
      </w:pPr>
      <w:r>
        <w:rPr>
          <w:rFonts w:hint="eastAsia"/>
          <w:b/>
          <w:bCs/>
        </w:rPr>
        <w:t>加强卫星遥感技术应用。</w:t>
      </w:r>
      <w:r>
        <w:rPr>
          <w:rFonts w:hint="eastAsia"/>
        </w:rPr>
        <w:t>探索利用卫星遥感开展严格管控类耕地种植结构调整或退耕还林还草等措施实施情况监测评估。开展固体废物遥感监管，定期开展全省工业固体废物堆场关闭、搬迁、扩产等动态监测监管。推进在产和停产企业设施、设备或者建筑物、构筑物拆除，污染地块土壤污染风险管控、修复、开发建设等活动遥感监管试点。加强高光谱遥感技术研究和应用，推进高光谱遥感在土壤、植被重金属含量定性、定量监测和土壤重金属污染区识别中的研究应用。</w:t>
      </w:r>
    </w:p>
    <w:p>
      <w:pPr>
        <w:bidi w:val="0"/>
      </w:pPr>
      <w:r>
        <w:rPr>
          <w:rFonts w:hint="eastAsia"/>
          <w:b/>
          <w:bCs/>
        </w:rPr>
        <w:t>持续完善水气土协同预警体系。</w:t>
      </w:r>
      <w:r>
        <w:rPr>
          <w:rFonts w:hint="eastAsia"/>
        </w:rPr>
        <w:t>持续完善园区大气、水、土壤污染协同预防预警体系，推动工矿企业大气、水、土壤污染协同预防预警体系建设。强化园区预警体系相关信息和数据应用，开展大气—土壤、地表水—土壤、地下水—土壤关联性和质量状况变化趋势分析，增强园区预警能力</w:t>
      </w:r>
      <w:r>
        <w:t>。</w:t>
      </w:r>
    </w:p>
    <w:p>
      <w:pPr>
        <w:bidi w:val="0"/>
      </w:pPr>
      <w:r>
        <w:rPr>
          <w:rFonts w:hint="eastAsia"/>
          <w:b/>
          <w:bCs/>
        </w:rPr>
        <w:t>加强土壤污染防治先进技术应用。</w:t>
      </w:r>
      <w:r>
        <w:rPr>
          <w:rFonts w:hint="eastAsia"/>
        </w:rPr>
        <w:t>借力</w:t>
      </w:r>
      <w:r>
        <w:t>四川省土壤污染防治先进适用技术指导目录。加强有机污染土壤和地下水原位化学氧化修复技术和有机污染土壤异位直接热脱附技术在土壤苯系物、多环芳烃等污染治理修复中的应用。推进柔性垂直污染防控屏障系统在填埋场及废渣、废液池等污染场地风险阻控和铁尾矿库生态修复技术应用。</w:t>
      </w:r>
    </w:p>
    <w:p>
      <w:pPr>
        <w:pStyle w:val="5"/>
        <w:ind w:firstLine="643"/>
      </w:pPr>
      <w:r>
        <w:t>3.加强土壤污染防治基础研究</w:t>
      </w:r>
    </w:p>
    <w:p>
      <w:pPr>
        <w:ind w:firstLine="602"/>
      </w:pPr>
      <w:r>
        <w:rPr>
          <w:b/>
          <w:bCs/>
        </w:rPr>
        <w:t>强化土壤污染防治技术研究。</w:t>
      </w:r>
      <w:r>
        <w:t>推动农用地土壤污染安全利用先进适用技术研究。加强重点监管单位土壤环境污染预防、环境调查、风险评估、治理修复和污染防治全过程监管技术的研究。支持土壤污染识别与诊断、风险管控与预警、治理与复合修复等共性关键技术研究及先进适用装备和高效低成本功能材料（药剂）研发。</w:t>
      </w:r>
      <w:r>
        <w:rPr>
          <w:rFonts w:hint="eastAsia"/>
        </w:rPr>
        <w:t>借力农用地安全利用和建设用地治理修复项目，总结先进性经验。</w:t>
      </w:r>
    </w:p>
    <w:p>
      <w:pPr>
        <w:ind w:firstLine="602"/>
      </w:pPr>
      <w:r>
        <w:rPr>
          <w:b/>
          <w:bCs/>
        </w:rPr>
        <w:t>推进污染地块治理修复试点示范建设。</w:t>
      </w:r>
      <w:r>
        <w:t>根据四川省建设用地土壤污染风险管控和修复名录，以拟开发建设居住、商业、学校、医疗和养老机构等项目的污染地块为重点，逐步推进建设用地土壤污染治理与修复工作试点示范建设。依据重点行业企业用地调查、企业隐患排查和自行监测等结果，以金属表面处理及热处理加工、基础化学原料制造、炼焦、专用化学品制造等行业企业为重点，鼓励采用污染阻隔、监测自然衰减等原位风险管控或修复技术，探索在产企业边生产边管控土壤污染风险模式。</w:t>
      </w:r>
    </w:p>
    <w:p>
      <w:pPr>
        <w:ind w:firstLine="600"/>
        <w:sectPr>
          <w:footerReference r:id="rId12" w:type="default"/>
          <w:pgSz w:w="11906" w:h="16838"/>
          <w:pgMar w:top="1440" w:right="1800" w:bottom="1440" w:left="1800" w:header="851" w:footer="992" w:gutter="0"/>
          <w:pgNumType w:start="1"/>
          <w:cols w:space="425" w:num="1"/>
          <w:docGrid w:type="lines" w:linePitch="312" w:charSpace="0"/>
        </w:sectPr>
      </w:pPr>
      <w:r>
        <w:rPr>
          <w:rFonts w:hint="eastAsia"/>
        </w:rPr>
        <w:br w:type="page"/>
      </w:r>
    </w:p>
    <w:p>
      <w:pPr>
        <w:pStyle w:val="3"/>
        <w:ind w:firstLine="640"/>
      </w:pPr>
      <w:bookmarkStart w:id="19" w:name="_Toc26958"/>
      <w:r>
        <w:rPr>
          <w:rFonts w:hint="eastAsia"/>
        </w:rPr>
        <w:t>四、保障措施</w:t>
      </w:r>
      <w:bookmarkEnd w:id="19"/>
    </w:p>
    <w:p>
      <w:pPr>
        <w:pStyle w:val="4"/>
        <w:ind w:firstLine="643"/>
      </w:pPr>
      <w:bookmarkStart w:id="20" w:name="_Toc3682"/>
      <w:r>
        <w:rPr>
          <w:rFonts w:hint="eastAsia"/>
        </w:rPr>
        <w:t>（一）强化组织领导</w:t>
      </w:r>
      <w:bookmarkEnd w:id="20"/>
    </w:p>
    <w:p>
      <w:pPr>
        <w:bidi w:val="0"/>
      </w:pPr>
      <w:r>
        <w:t>健</w:t>
      </w:r>
      <w:r>
        <w:rPr>
          <w:rFonts w:hint="eastAsia"/>
        </w:rPr>
        <w:t>全“十四五”土壤污染防治相关部门协调联动机制，按照职责分工，落实“一岗双责”，密切协</w:t>
      </w:r>
      <w:r>
        <w:t>作配合，形成工作合力。按照“政府主导、部门协同、公众参与、分级分类、联合推进”的原则，明确各县（市、区）政府对本行政区域内的土壤污染治理与修复的主体责任和相关部门督导责任。细化工作目标、重点任务和工程项目，并逐一落实到县（市、区）、部门和重点企业，确保任务落地见效、高质量高标准完成。</w:t>
      </w:r>
    </w:p>
    <w:p>
      <w:pPr>
        <w:pStyle w:val="4"/>
        <w:ind w:firstLine="643"/>
      </w:pPr>
      <w:bookmarkStart w:id="21" w:name="_Toc10879"/>
      <w:r>
        <w:rPr>
          <w:rFonts w:hint="eastAsia"/>
        </w:rPr>
        <w:t>（二）加强资金保障</w:t>
      </w:r>
      <w:bookmarkEnd w:id="21"/>
    </w:p>
    <w:p>
      <w:pPr>
        <w:bidi w:val="0"/>
      </w:pPr>
      <w:r>
        <w:rPr>
          <w:rFonts w:hint="eastAsia"/>
        </w:rPr>
        <w:t>按照财政事权与支出责任划分，各级政府要加强土壤污染防治工作资金保障。积极向上争取中省政策、项目、资金支持，发挥财政资金带动作用，引导社会资金投入土壤污染</w:t>
      </w:r>
      <w:r>
        <w:rPr>
          <w:rFonts w:hint="eastAsia"/>
          <w:lang w:eastAsia="zh-CN"/>
        </w:rPr>
        <w:t>防治项目</w:t>
      </w:r>
      <w:r>
        <w:rPr>
          <w:rFonts w:hint="eastAsia"/>
        </w:rPr>
        <w:t>。</w:t>
      </w:r>
    </w:p>
    <w:p>
      <w:pPr>
        <w:pStyle w:val="4"/>
        <w:ind w:firstLine="643"/>
      </w:pPr>
      <w:bookmarkStart w:id="22" w:name="_Toc18514"/>
      <w:r>
        <w:rPr>
          <w:rFonts w:hint="eastAsia"/>
        </w:rPr>
        <w:t>（三）严格目标考核</w:t>
      </w:r>
      <w:bookmarkEnd w:id="22"/>
    </w:p>
    <w:p>
      <w:pPr>
        <w:bidi w:val="0"/>
      </w:pPr>
      <w:r>
        <w:rPr>
          <w:rFonts w:hint="eastAsia"/>
        </w:rPr>
        <w:t>实行目标责任制，分解落实目标任务。强化考核评估，市生态环境局牵头组织有关部门分年度对各县（市、区）重点工作完成情况进行评估。评估和考核结果可作为市级土壤污染防治专项资金分配的重要参考依据。</w:t>
      </w:r>
    </w:p>
    <w:p>
      <w:pPr>
        <w:pStyle w:val="4"/>
        <w:ind w:firstLine="643"/>
      </w:pPr>
      <w:bookmarkStart w:id="23" w:name="_Toc7113"/>
      <w:r>
        <w:rPr>
          <w:rFonts w:hint="eastAsia"/>
        </w:rPr>
        <w:t>（四）加强宣传引导</w:t>
      </w:r>
      <w:bookmarkEnd w:id="23"/>
    </w:p>
    <w:p>
      <w:pPr>
        <w:ind w:firstLine="600"/>
        <w:rPr>
          <w:rFonts w:hint="eastAsia" w:eastAsia="仿宋_GB2312"/>
          <w:szCs w:val="30"/>
          <w:lang w:eastAsia="zh-CN"/>
        </w:rPr>
        <w:sectPr>
          <w:pgSz w:w="11906" w:h="16838"/>
          <w:pgMar w:top="1440" w:right="1803" w:bottom="1440" w:left="1803" w:header="851" w:footer="992" w:gutter="0"/>
          <w:cols w:space="0" w:num="1"/>
          <w:docGrid w:type="lines" w:linePitch="319" w:charSpace="0"/>
        </w:sectPr>
      </w:pPr>
      <w:r>
        <w:rPr>
          <w:rFonts w:hint="eastAsia"/>
        </w:rPr>
        <w:t>加强常规媒体和新媒体平台对土壤污染防治宣传，同时，利用世界地球日、世界环境日、世界土壤日等重大节点，增强公众生态环境意识和责任意识。深入学校、企业、社区、农村广泛开展宣传教育活动，通过发放科普读物、有奖问答等方式向公众普及土壤污染防治知识，形成全社会保护土壤的良好</w:t>
      </w:r>
      <w:r>
        <w:rPr>
          <w:rFonts w:hint="eastAsia"/>
          <w:lang w:eastAsia="zh-CN"/>
        </w:rPr>
        <w:t>氛围。</w:t>
      </w:r>
    </w:p>
    <w:p>
      <w:pPr>
        <w:pStyle w:val="2"/>
        <w:ind w:left="0" w:leftChars="0" w:firstLine="0" w:firstLineChars="0"/>
      </w:pPr>
    </w:p>
    <w:sectPr>
      <w:pgSz w:w="16838" w:h="11906" w:orient="landscape"/>
      <w:pgMar w:top="1803" w:right="1440" w:bottom="1803" w:left="1440" w:header="851" w:footer="992" w:gutter="0"/>
      <w:cols w:space="0" w:num="1"/>
      <w:docGrid w:type="lines" w:linePitch="41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path/>
          <v:fill on="f" focussize="0,0"/>
          <v:stroke on="f" weight="0.5pt" joinstyle="miter"/>
          <v:imagedata o:title=""/>
          <o:lock v:ext="edit"/>
          <v:textbox inset="0mm,0mm,0mm,0mm" style="mso-fit-shape-to-text:t;">
            <w:txbxContent>
              <w:p>
                <w:pPr>
                  <w:pStyle w:val="9"/>
                  <w:ind w:firstLine="360"/>
                </w:pPr>
                <w:r>
                  <w:fldChar w:fldCharType="begin"/>
                </w:r>
                <w:r>
                  <w:instrText xml:space="preserve"> PAGE  \* MERGEFORMAT </w:instrText>
                </w:r>
                <w:r>
                  <w:fldChar w:fldCharType="separate"/>
                </w:r>
                <w:r>
                  <w:t>41</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path/>
          <v:fill on="f" focussize="0,0"/>
          <v:stroke on="f" weight="0.5pt" joinstyle="miter"/>
          <v:imagedata o:title=""/>
          <o:lock v:ext="edit"/>
          <v:textbox inset="0mm,0mm,0mm,0mm" style="mso-fit-shape-to-text:t;">
            <w:txbxContent>
              <w:p>
                <w:pPr>
                  <w:pStyle w:val="9"/>
                  <w:ind w:firstLine="360"/>
                </w:pPr>
                <w:r>
                  <w:fldChar w:fldCharType="begin"/>
                </w:r>
                <w:r>
                  <w:instrText xml:space="preserve"> PAGE  \* MERGEFORMAT </w:instrText>
                </w:r>
                <w:r>
                  <w:fldChar w:fldCharType="separate"/>
                </w:r>
                <w:r>
                  <w:t>17</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208"/>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GFkOGM2MmM2MTAxNTg3MDNmNWNkMDczOWQ2NmEzY2EifQ=="/>
  </w:docVars>
  <w:rsids>
    <w:rsidRoot w:val="00013843"/>
    <w:rsid w:val="00013843"/>
    <w:rsid w:val="002222D5"/>
    <w:rsid w:val="002D19CF"/>
    <w:rsid w:val="00463631"/>
    <w:rsid w:val="005D4603"/>
    <w:rsid w:val="00653D83"/>
    <w:rsid w:val="006B5550"/>
    <w:rsid w:val="006F42EB"/>
    <w:rsid w:val="009765F6"/>
    <w:rsid w:val="00977B14"/>
    <w:rsid w:val="009F3EDF"/>
    <w:rsid w:val="00E30FAC"/>
    <w:rsid w:val="00E65102"/>
    <w:rsid w:val="01033192"/>
    <w:rsid w:val="01063C96"/>
    <w:rsid w:val="011042CA"/>
    <w:rsid w:val="01156467"/>
    <w:rsid w:val="012F4F7F"/>
    <w:rsid w:val="016043AA"/>
    <w:rsid w:val="01716AC6"/>
    <w:rsid w:val="017A460A"/>
    <w:rsid w:val="01843DAC"/>
    <w:rsid w:val="018F6A3E"/>
    <w:rsid w:val="019D55FE"/>
    <w:rsid w:val="01C34939"/>
    <w:rsid w:val="02294B1B"/>
    <w:rsid w:val="02497534"/>
    <w:rsid w:val="025C3E11"/>
    <w:rsid w:val="025E50D2"/>
    <w:rsid w:val="02703679"/>
    <w:rsid w:val="0274289F"/>
    <w:rsid w:val="02760F4A"/>
    <w:rsid w:val="02901691"/>
    <w:rsid w:val="02A353ED"/>
    <w:rsid w:val="02AC00F3"/>
    <w:rsid w:val="02C24BF1"/>
    <w:rsid w:val="02CA6BC8"/>
    <w:rsid w:val="02D81D2F"/>
    <w:rsid w:val="02E64D83"/>
    <w:rsid w:val="02E7555F"/>
    <w:rsid w:val="02E8126F"/>
    <w:rsid w:val="02ED4364"/>
    <w:rsid w:val="031D3F11"/>
    <w:rsid w:val="034951FA"/>
    <w:rsid w:val="03921398"/>
    <w:rsid w:val="0394658D"/>
    <w:rsid w:val="039C3694"/>
    <w:rsid w:val="03C84489"/>
    <w:rsid w:val="03CF732D"/>
    <w:rsid w:val="03D33559"/>
    <w:rsid w:val="03E2379C"/>
    <w:rsid w:val="03FD2D76"/>
    <w:rsid w:val="042B6AFE"/>
    <w:rsid w:val="043607A0"/>
    <w:rsid w:val="043D09D3"/>
    <w:rsid w:val="046466B0"/>
    <w:rsid w:val="04AD162A"/>
    <w:rsid w:val="04B6372F"/>
    <w:rsid w:val="04CF3E86"/>
    <w:rsid w:val="0526590B"/>
    <w:rsid w:val="0544164B"/>
    <w:rsid w:val="056F690A"/>
    <w:rsid w:val="05893100"/>
    <w:rsid w:val="059565ED"/>
    <w:rsid w:val="05973087"/>
    <w:rsid w:val="05EC0FC1"/>
    <w:rsid w:val="05FB6D97"/>
    <w:rsid w:val="06083B1D"/>
    <w:rsid w:val="06353E82"/>
    <w:rsid w:val="064249C6"/>
    <w:rsid w:val="06554170"/>
    <w:rsid w:val="06765A9F"/>
    <w:rsid w:val="06901EC9"/>
    <w:rsid w:val="072D25EE"/>
    <w:rsid w:val="072E59D2"/>
    <w:rsid w:val="073E6F3C"/>
    <w:rsid w:val="07595243"/>
    <w:rsid w:val="076444C8"/>
    <w:rsid w:val="07A6695C"/>
    <w:rsid w:val="07AD5F65"/>
    <w:rsid w:val="07B23486"/>
    <w:rsid w:val="07B95CFB"/>
    <w:rsid w:val="07BB67DE"/>
    <w:rsid w:val="07D9302C"/>
    <w:rsid w:val="07F65A68"/>
    <w:rsid w:val="08081DFC"/>
    <w:rsid w:val="08206A77"/>
    <w:rsid w:val="0827722A"/>
    <w:rsid w:val="083C0BC1"/>
    <w:rsid w:val="084542FA"/>
    <w:rsid w:val="085F70CA"/>
    <w:rsid w:val="08770C02"/>
    <w:rsid w:val="0878022B"/>
    <w:rsid w:val="0882392E"/>
    <w:rsid w:val="08B04B07"/>
    <w:rsid w:val="08B55272"/>
    <w:rsid w:val="08CC0577"/>
    <w:rsid w:val="08F04266"/>
    <w:rsid w:val="08FD20C8"/>
    <w:rsid w:val="090040EB"/>
    <w:rsid w:val="09030ACB"/>
    <w:rsid w:val="09067F2D"/>
    <w:rsid w:val="092D62DF"/>
    <w:rsid w:val="09690721"/>
    <w:rsid w:val="09935F24"/>
    <w:rsid w:val="09963C86"/>
    <w:rsid w:val="099E2019"/>
    <w:rsid w:val="09A80264"/>
    <w:rsid w:val="09D12401"/>
    <w:rsid w:val="09FE0C04"/>
    <w:rsid w:val="0A051E1A"/>
    <w:rsid w:val="0A1F408F"/>
    <w:rsid w:val="0A214D4A"/>
    <w:rsid w:val="0A261F09"/>
    <w:rsid w:val="0A2832B3"/>
    <w:rsid w:val="0A2C1EFC"/>
    <w:rsid w:val="0A410A9B"/>
    <w:rsid w:val="0A6D4D7D"/>
    <w:rsid w:val="0ABA4B04"/>
    <w:rsid w:val="0ACE6829"/>
    <w:rsid w:val="0B0A0732"/>
    <w:rsid w:val="0B100E23"/>
    <w:rsid w:val="0B1F35B0"/>
    <w:rsid w:val="0B48429F"/>
    <w:rsid w:val="0B6727D9"/>
    <w:rsid w:val="0B6D4AB2"/>
    <w:rsid w:val="0B8A2C8B"/>
    <w:rsid w:val="0BA64938"/>
    <w:rsid w:val="0BBA1A4E"/>
    <w:rsid w:val="0BBB0E33"/>
    <w:rsid w:val="0BC33EB3"/>
    <w:rsid w:val="0BF201C5"/>
    <w:rsid w:val="0C346B5F"/>
    <w:rsid w:val="0C403756"/>
    <w:rsid w:val="0C5C13AF"/>
    <w:rsid w:val="0C677B6E"/>
    <w:rsid w:val="0C7B02EA"/>
    <w:rsid w:val="0C8B3B2A"/>
    <w:rsid w:val="0C990CE7"/>
    <w:rsid w:val="0CA40EFE"/>
    <w:rsid w:val="0CAF4A6B"/>
    <w:rsid w:val="0CB8153E"/>
    <w:rsid w:val="0CE44ADC"/>
    <w:rsid w:val="0CFB2523"/>
    <w:rsid w:val="0D016373"/>
    <w:rsid w:val="0D0E06D3"/>
    <w:rsid w:val="0D0F0E7D"/>
    <w:rsid w:val="0D132C19"/>
    <w:rsid w:val="0D1B1ACD"/>
    <w:rsid w:val="0D6B3422"/>
    <w:rsid w:val="0D731909"/>
    <w:rsid w:val="0D7F4C1E"/>
    <w:rsid w:val="0DC07D1A"/>
    <w:rsid w:val="0DE77777"/>
    <w:rsid w:val="0DEA18E5"/>
    <w:rsid w:val="0E01763A"/>
    <w:rsid w:val="0E0B7D94"/>
    <w:rsid w:val="0E236E8B"/>
    <w:rsid w:val="0E3B1FA3"/>
    <w:rsid w:val="0E771E4C"/>
    <w:rsid w:val="0EAE146A"/>
    <w:rsid w:val="0EEA6823"/>
    <w:rsid w:val="0F0D27CD"/>
    <w:rsid w:val="0F16420F"/>
    <w:rsid w:val="0F2D7C76"/>
    <w:rsid w:val="0F3C4EEA"/>
    <w:rsid w:val="0F3F6C3D"/>
    <w:rsid w:val="0F4F5A5E"/>
    <w:rsid w:val="0F550DBC"/>
    <w:rsid w:val="0F615EBD"/>
    <w:rsid w:val="0F6825E5"/>
    <w:rsid w:val="0F713C26"/>
    <w:rsid w:val="0FAF5847"/>
    <w:rsid w:val="0FDA2B84"/>
    <w:rsid w:val="10246EEB"/>
    <w:rsid w:val="107A6B0B"/>
    <w:rsid w:val="1094093D"/>
    <w:rsid w:val="109D7CD6"/>
    <w:rsid w:val="10B44C00"/>
    <w:rsid w:val="10D40911"/>
    <w:rsid w:val="110B2F3B"/>
    <w:rsid w:val="11335637"/>
    <w:rsid w:val="114C04A7"/>
    <w:rsid w:val="118747B2"/>
    <w:rsid w:val="1191235E"/>
    <w:rsid w:val="11963E18"/>
    <w:rsid w:val="119F2CCD"/>
    <w:rsid w:val="11A8104B"/>
    <w:rsid w:val="11AB28DE"/>
    <w:rsid w:val="11F272A1"/>
    <w:rsid w:val="121A48A9"/>
    <w:rsid w:val="12356B5F"/>
    <w:rsid w:val="125E28BF"/>
    <w:rsid w:val="126E5706"/>
    <w:rsid w:val="12902616"/>
    <w:rsid w:val="129A3494"/>
    <w:rsid w:val="12A473F2"/>
    <w:rsid w:val="12CD38C0"/>
    <w:rsid w:val="12DE15D3"/>
    <w:rsid w:val="131D45CD"/>
    <w:rsid w:val="1322639B"/>
    <w:rsid w:val="13260F59"/>
    <w:rsid w:val="13306F8C"/>
    <w:rsid w:val="133F6E99"/>
    <w:rsid w:val="135F6890"/>
    <w:rsid w:val="139F74AF"/>
    <w:rsid w:val="13B3480E"/>
    <w:rsid w:val="13BD09A7"/>
    <w:rsid w:val="13C702B9"/>
    <w:rsid w:val="13D442C8"/>
    <w:rsid w:val="13D52CA3"/>
    <w:rsid w:val="13E53DA7"/>
    <w:rsid w:val="141A6E00"/>
    <w:rsid w:val="141D499B"/>
    <w:rsid w:val="14353E87"/>
    <w:rsid w:val="14465682"/>
    <w:rsid w:val="145307B7"/>
    <w:rsid w:val="1466280D"/>
    <w:rsid w:val="146D6888"/>
    <w:rsid w:val="14706BA3"/>
    <w:rsid w:val="148C79AC"/>
    <w:rsid w:val="14A41B08"/>
    <w:rsid w:val="14A92AFF"/>
    <w:rsid w:val="14C71999"/>
    <w:rsid w:val="14C8078D"/>
    <w:rsid w:val="15175270"/>
    <w:rsid w:val="151B7BB9"/>
    <w:rsid w:val="15402E37"/>
    <w:rsid w:val="15875F52"/>
    <w:rsid w:val="15CC1BB7"/>
    <w:rsid w:val="15CD738C"/>
    <w:rsid w:val="15DC1C00"/>
    <w:rsid w:val="15E211B4"/>
    <w:rsid w:val="15EA0B91"/>
    <w:rsid w:val="15EB5B02"/>
    <w:rsid w:val="16011F64"/>
    <w:rsid w:val="160D643D"/>
    <w:rsid w:val="160E15DA"/>
    <w:rsid w:val="161A4D19"/>
    <w:rsid w:val="162D044A"/>
    <w:rsid w:val="162E7AFC"/>
    <w:rsid w:val="163C055E"/>
    <w:rsid w:val="16450B94"/>
    <w:rsid w:val="16483B42"/>
    <w:rsid w:val="166E2C6E"/>
    <w:rsid w:val="168F5666"/>
    <w:rsid w:val="16A91EF8"/>
    <w:rsid w:val="16B70AB9"/>
    <w:rsid w:val="16CD072E"/>
    <w:rsid w:val="16E050DC"/>
    <w:rsid w:val="16F75BF9"/>
    <w:rsid w:val="16F92E0C"/>
    <w:rsid w:val="174F2A9F"/>
    <w:rsid w:val="176B7DE9"/>
    <w:rsid w:val="176C0548"/>
    <w:rsid w:val="17706C33"/>
    <w:rsid w:val="17A22C5E"/>
    <w:rsid w:val="17A74689"/>
    <w:rsid w:val="17D943D3"/>
    <w:rsid w:val="17DB577F"/>
    <w:rsid w:val="18051D0B"/>
    <w:rsid w:val="182B0462"/>
    <w:rsid w:val="18572B84"/>
    <w:rsid w:val="185A4EEC"/>
    <w:rsid w:val="18625973"/>
    <w:rsid w:val="189664AC"/>
    <w:rsid w:val="189746FE"/>
    <w:rsid w:val="18B216EB"/>
    <w:rsid w:val="18C15D9B"/>
    <w:rsid w:val="18D56FD4"/>
    <w:rsid w:val="18DC363E"/>
    <w:rsid w:val="190012B2"/>
    <w:rsid w:val="1936278B"/>
    <w:rsid w:val="197E237F"/>
    <w:rsid w:val="19827ED1"/>
    <w:rsid w:val="1997072D"/>
    <w:rsid w:val="19A13312"/>
    <w:rsid w:val="19A445F5"/>
    <w:rsid w:val="19AC41D9"/>
    <w:rsid w:val="19E03E83"/>
    <w:rsid w:val="19F811CC"/>
    <w:rsid w:val="1A077ABA"/>
    <w:rsid w:val="1A0A7151"/>
    <w:rsid w:val="1A3514E0"/>
    <w:rsid w:val="1A5D54D3"/>
    <w:rsid w:val="1A732F49"/>
    <w:rsid w:val="1AA2382E"/>
    <w:rsid w:val="1ADE3E0F"/>
    <w:rsid w:val="1B004006"/>
    <w:rsid w:val="1B0F0A70"/>
    <w:rsid w:val="1B2F3773"/>
    <w:rsid w:val="1B32070E"/>
    <w:rsid w:val="1B4903FD"/>
    <w:rsid w:val="1B50418E"/>
    <w:rsid w:val="1B53571D"/>
    <w:rsid w:val="1B644B05"/>
    <w:rsid w:val="1B6F2920"/>
    <w:rsid w:val="1B6F54BE"/>
    <w:rsid w:val="1B9E6508"/>
    <w:rsid w:val="1BCA303C"/>
    <w:rsid w:val="1BCB46BE"/>
    <w:rsid w:val="1BCD28A5"/>
    <w:rsid w:val="1BEA4041"/>
    <w:rsid w:val="1BED77ED"/>
    <w:rsid w:val="1C146065"/>
    <w:rsid w:val="1C1746BF"/>
    <w:rsid w:val="1C247F0F"/>
    <w:rsid w:val="1C2A7637"/>
    <w:rsid w:val="1C4E5C5C"/>
    <w:rsid w:val="1C6A3559"/>
    <w:rsid w:val="1C6C40F3"/>
    <w:rsid w:val="1C826336"/>
    <w:rsid w:val="1C903DDA"/>
    <w:rsid w:val="1C9176B6"/>
    <w:rsid w:val="1C99074B"/>
    <w:rsid w:val="1CA80A37"/>
    <w:rsid w:val="1CAE31F9"/>
    <w:rsid w:val="1CB2035E"/>
    <w:rsid w:val="1CB877DB"/>
    <w:rsid w:val="1CBC6B76"/>
    <w:rsid w:val="1CD517FA"/>
    <w:rsid w:val="1CDB6B83"/>
    <w:rsid w:val="1CF1047D"/>
    <w:rsid w:val="1CF170E1"/>
    <w:rsid w:val="1D3F7933"/>
    <w:rsid w:val="1D641B90"/>
    <w:rsid w:val="1D6B43AB"/>
    <w:rsid w:val="1D70551D"/>
    <w:rsid w:val="1DA923D2"/>
    <w:rsid w:val="1DAF24EA"/>
    <w:rsid w:val="1DE0210C"/>
    <w:rsid w:val="1DE056F5"/>
    <w:rsid w:val="1DE15E3F"/>
    <w:rsid w:val="1DEB7385"/>
    <w:rsid w:val="1DF41D82"/>
    <w:rsid w:val="1E04324C"/>
    <w:rsid w:val="1E0740D4"/>
    <w:rsid w:val="1E0A7884"/>
    <w:rsid w:val="1E2C7696"/>
    <w:rsid w:val="1E432C32"/>
    <w:rsid w:val="1E450758"/>
    <w:rsid w:val="1E5866DD"/>
    <w:rsid w:val="1E854598"/>
    <w:rsid w:val="1E8F40C9"/>
    <w:rsid w:val="1E99393B"/>
    <w:rsid w:val="1EB83620"/>
    <w:rsid w:val="1EC65D3D"/>
    <w:rsid w:val="1ED65854"/>
    <w:rsid w:val="1EDE530A"/>
    <w:rsid w:val="1EE770AC"/>
    <w:rsid w:val="1EEF38C0"/>
    <w:rsid w:val="1EFB1236"/>
    <w:rsid w:val="1F0362FB"/>
    <w:rsid w:val="1F0564D0"/>
    <w:rsid w:val="1F0C233A"/>
    <w:rsid w:val="1F1A0D92"/>
    <w:rsid w:val="1F25012F"/>
    <w:rsid w:val="1F274F00"/>
    <w:rsid w:val="1F3340FB"/>
    <w:rsid w:val="1F5A0233"/>
    <w:rsid w:val="1F5F2B97"/>
    <w:rsid w:val="1F815D9C"/>
    <w:rsid w:val="1F973235"/>
    <w:rsid w:val="1F9E3362"/>
    <w:rsid w:val="1FC56676"/>
    <w:rsid w:val="1FEE1922"/>
    <w:rsid w:val="20134C80"/>
    <w:rsid w:val="20166850"/>
    <w:rsid w:val="20221CAE"/>
    <w:rsid w:val="2059498F"/>
    <w:rsid w:val="20600EF2"/>
    <w:rsid w:val="20813E19"/>
    <w:rsid w:val="20AA52C9"/>
    <w:rsid w:val="20B83463"/>
    <w:rsid w:val="20CD05CF"/>
    <w:rsid w:val="20D06011"/>
    <w:rsid w:val="20D12777"/>
    <w:rsid w:val="20D81D57"/>
    <w:rsid w:val="20E858CD"/>
    <w:rsid w:val="210D1F71"/>
    <w:rsid w:val="213F124B"/>
    <w:rsid w:val="214C004F"/>
    <w:rsid w:val="219E0130"/>
    <w:rsid w:val="21C4408A"/>
    <w:rsid w:val="21D10024"/>
    <w:rsid w:val="21DD374C"/>
    <w:rsid w:val="21E67A5C"/>
    <w:rsid w:val="220719FE"/>
    <w:rsid w:val="22141B46"/>
    <w:rsid w:val="22247969"/>
    <w:rsid w:val="223E4F7D"/>
    <w:rsid w:val="22423029"/>
    <w:rsid w:val="226952B6"/>
    <w:rsid w:val="229262A6"/>
    <w:rsid w:val="22995516"/>
    <w:rsid w:val="229B303C"/>
    <w:rsid w:val="22A33F92"/>
    <w:rsid w:val="22AD7DD5"/>
    <w:rsid w:val="22D957AD"/>
    <w:rsid w:val="22DA39D3"/>
    <w:rsid w:val="22E5075C"/>
    <w:rsid w:val="22EC49CB"/>
    <w:rsid w:val="23056317"/>
    <w:rsid w:val="231D6147"/>
    <w:rsid w:val="23340A53"/>
    <w:rsid w:val="2353461A"/>
    <w:rsid w:val="237212D0"/>
    <w:rsid w:val="23983A20"/>
    <w:rsid w:val="23A262FB"/>
    <w:rsid w:val="23F927F4"/>
    <w:rsid w:val="240D22A0"/>
    <w:rsid w:val="241C4226"/>
    <w:rsid w:val="243D2E02"/>
    <w:rsid w:val="24520B32"/>
    <w:rsid w:val="245E07C6"/>
    <w:rsid w:val="24724271"/>
    <w:rsid w:val="247C0C4C"/>
    <w:rsid w:val="24C23BDB"/>
    <w:rsid w:val="24C84C03"/>
    <w:rsid w:val="24DB5972"/>
    <w:rsid w:val="24DE36B4"/>
    <w:rsid w:val="24FC0D9D"/>
    <w:rsid w:val="254940F4"/>
    <w:rsid w:val="254E083A"/>
    <w:rsid w:val="2556149D"/>
    <w:rsid w:val="25826D42"/>
    <w:rsid w:val="25842D9E"/>
    <w:rsid w:val="25B55C0A"/>
    <w:rsid w:val="25C42F44"/>
    <w:rsid w:val="25CB1E8B"/>
    <w:rsid w:val="25F763A3"/>
    <w:rsid w:val="25FF712E"/>
    <w:rsid w:val="260E7FC9"/>
    <w:rsid w:val="26535433"/>
    <w:rsid w:val="265E1C66"/>
    <w:rsid w:val="267F0B37"/>
    <w:rsid w:val="26C348B6"/>
    <w:rsid w:val="26CA3EF0"/>
    <w:rsid w:val="26CD7555"/>
    <w:rsid w:val="26DE109F"/>
    <w:rsid w:val="26DF283A"/>
    <w:rsid w:val="26F176CF"/>
    <w:rsid w:val="26F7280B"/>
    <w:rsid w:val="270D6053"/>
    <w:rsid w:val="273418FF"/>
    <w:rsid w:val="27651161"/>
    <w:rsid w:val="276E51C4"/>
    <w:rsid w:val="27880183"/>
    <w:rsid w:val="27B801ED"/>
    <w:rsid w:val="27D55B83"/>
    <w:rsid w:val="27F84A8D"/>
    <w:rsid w:val="27FF6372"/>
    <w:rsid w:val="28163ACA"/>
    <w:rsid w:val="28166734"/>
    <w:rsid w:val="28620159"/>
    <w:rsid w:val="28746391"/>
    <w:rsid w:val="287E3797"/>
    <w:rsid w:val="28991CB1"/>
    <w:rsid w:val="28C01A4F"/>
    <w:rsid w:val="28C80903"/>
    <w:rsid w:val="28DC7F0B"/>
    <w:rsid w:val="29001E4B"/>
    <w:rsid w:val="2914599D"/>
    <w:rsid w:val="29251287"/>
    <w:rsid w:val="292901D4"/>
    <w:rsid w:val="29341AF5"/>
    <w:rsid w:val="2964062C"/>
    <w:rsid w:val="297048B6"/>
    <w:rsid w:val="297D01A9"/>
    <w:rsid w:val="299F5C4F"/>
    <w:rsid w:val="29A061DF"/>
    <w:rsid w:val="29AC0041"/>
    <w:rsid w:val="29B6075C"/>
    <w:rsid w:val="29C667A2"/>
    <w:rsid w:val="29E94E5B"/>
    <w:rsid w:val="29F14ADE"/>
    <w:rsid w:val="29F3375E"/>
    <w:rsid w:val="2A06479A"/>
    <w:rsid w:val="2A252BB1"/>
    <w:rsid w:val="2A524929"/>
    <w:rsid w:val="2A636318"/>
    <w:rsid w:val="2A944F41"/>
    <w:rsid w:val="2A99280F"/>
    <w:rsid w:val="2AB56C65"/>
    <w:rsid w:val="2AB862D7"/>
    <w:rsid w:val="2AEF5B9F"/>
    <w:rsid w:val="2B165A4E"/>
    <w:rsid w:val="2B620F43"/>
    <w:rsid w:val="2B6C3F76"/>
    <w:rsid w:val="2B8450A1"/>
    <w:rsid w:val="2B8723B0"/>
    <w:rsid w:val="2B8E73D4"/>
    <w:rsid w:val="2B912067"/>
    <w:rsid w:val="2BA858C9"/>
    <w:rsid w:val="2BD650E5"/>
    <w:rsid w:val="2BFF288E"/>
    <w:rsid w:val="2C276C8D"/>
    <w:rsid w:val="2C3562B0"/>
    <w:rsid w:val="2C842D93"/>
    <w:rsid w:val="2C97516F"/>
    <w:rsid w:val="2C9D7BC8"/>
    <w:rsid w:val="2CBF7AE1"/>
    <w:rsid w:val="2CE30B9D"/>
    <w:rsid w:val="2CEE645F"/>
    <w:rsid w:val="2CF54933"/>
    <w:rsid w:val="2CF55A3F"/>
    <w:rsid w:val="2CF969CA"/>
    <w:rsid w:val="2D03006B"/>
    <w:rsid w:val="2D1025AD"/>
    <w:rsid w:val="2D124699"/>
    <w:rsid w:val="2D3C394B"/>
    <w:rsid w:val="2D483D62"/>
    <w:rsid w:val="2D773865"/>
    <w:rsid w:val="2D796670"/>
    <w:rsid w:val="2D86010A"/>
    <w:rsid w:val="2D9708A4"/>
    <w:rsid w:val="2DBF5015"/>
    <w:rsid w:val="2DC0604D"/>
    <w:rsid w:val="2E110657"/>
    <w:rsid w:val="2E187C37"/>
    <w:rsid w:val="2E222864"/>
    <w:rsid w:val="2E49137C"/>
    <w:rsid w:val="2E4D01A2"/>
    <w:rsid w:val="2E5965C7"/>
    <w:rsid w:val="2E7340A6"/>
    <w:rsid w:val="2ED3590C"/>
    <w:rsid w:val="2ED7029B"/>
    <w:rsid w:val="2EED2E72"/>
    <w:rsid w:val="2F0957D2"/>
    <w:rsid w:val="2F2F348A"/>
    <w:rsid w:val="2F320885"/>
    <w:rsid w:val="2F3E547B"/>
    <w:rsid w:val="2F494A6D"/>
    <w:rsid w:val="2F511023"/>
    <w:rsid w:val="2F7B7B5E"/>
    <w:rsid w:val="2F9B55C5"/>
    <w:rsid w:val="2FA01C92"/>
    <w:rsid w:val="2FA119B8"/>
    <w:rsid w:val="2FA711BF"/>
    <w:rsid w:val="300A533F"/>
    <w:rsid w:val="301228EC"/>
    <w:rsid w:val="301606C2"/>
    <w:rsid w:val="30285F63"/>
    <w:rsid w:val="307676A6"/>
    <w:rsid w:val="30924806"/>
    <w:rsid w:val="309A1661"/>
    <w:rsid w:val="30B26121"/>
    <w:rsid w:val="30BB282F"/>
    <w:rsid w:val="30F069C7"/>
    <w:rsid w:val="31045502"/>
    <w:rsid w:val="31052C9F"/>
    <w:rsid w:val="3147350C"/>
    <w:rsid w:val="31540F86"/>
    <w:rsid w:val="315B60DF"/>
    <w:rsid w:val="3179279B"/>
    <w:rsid w:val="3183200E"/>
    <w:rsid w:val="3189416A"/>
    <w:rsid w:val="31915978"/>
    <w:rsid w:val="31A62E04"/>
    <w:rsid w:val="322B5A66"/>
    <w:rsid w:val="324A24CA"/>
    <w:rsid w:val="32780445"/>
    <w:rsid w:val="327A1D67"/>
    <w:rsid w:val="328B4E7C"/>
    <w:rsid w:val="32A67C55"/>
    <w:rsid w:val="32AF043E"/>
    <w:rsid w:val="32CE527D"/>
    <w:rsid w:val="32D93229"/>
    <w:rsid w:val="32E352F6"/>
    <w:rsid w:val="32F522F5"/>
    <w:rsid w:val="32FF323F"/>
    <w:rsid w:val="330839B1"/>
    <w:rsid w:val="3322773C"/>
    <w:rsid w:val="332653CD"/>
    <w:rsid w:val="332E5807"/>
    <w:rsid w:val="3333106F"/>
    <w:rsid w:val="338414E6"/>
    <w:rsid w:val="33CD6DCE"/>
    <w:rsid w:val="345614B9"/>
    <w:rsid w:val="347F29B7"/>
    <w:rsid w:val="34C53B13"/>
    <w:rsid w:val="34CB79B9"/>
    <w:rsid w:val="34E55CAE"/>
    <w:rsid w:val="35257593"/>
    <w:rsid w:val="3535561B"/>
    <w:rsid w:val="35436B47"/>
    <w:rsid w:val="355367FF"/>
    <w:rsid w:val="35955BB3"/>
    <w:rsid w:val="35A134DA"/>
    <w:rsid w:val="35AD62A9"/>
    <w:rsid w:val="35C10BB4"/>
    <w:rsid w:val="35CB1A33"/>
    <w:rsid w:val="35D13FAB"/>
    <w:rsid w:val="35E61FD3"/>
    <w:rsid w:val="36050AA1"/>
    <w:rsid w:val="36062A6B"/>
    <w:rsid w:val="360F7B72"/>
    <w:rsid w:val="363502EE"/>
    <w:rsid w:val="364C3786"/>
    <w:rsid w:val="36721EAF"/>
    <w:rsid w:val="367E6AA5"/>
    <w:rsid w:val="368D6CE8"/>
    <w:rsid w:val="36A177F7"/>
    <w:rsid w:val="36A67508"/>
    <w:rsid w:val="36CE5BFC"/>
    <w:rsid w:val="36D461C0"/>
    <w:rsid w:val="36DA5760"/>
    <w:rsid w:val="36DD61E6"/>
    <w:rsid w:val="36E508D2"/>
    <w:rsid w:val="371B2546"/>
    <w:rsid w:val="371E1136"/>
    <w:rsid w:val="37411F88"/>
    <w:rsid w:val="37417583"/>
    <w:rsid w:val="37450234"/>
    <w:rsid w:val="3749733F"/>
    <w:rsid w:val="377606E1"/>
    <w:rsid w:val="377F4883"/>
    <w:rsid w:val="378E57DA"/>
    <w:rsid w:val="37A91900"/>
    <w:rsid w:val="37DE73C8"/>
    <w:rsid w:val="37E62B54"/>
    <w:rsid w:val="37F25055"/>
    <w:rsid w:val="38004415"/>
    <w:rsid w:val="38044D88"/>
    <w:rsid w:val="383733B0"/>
    <w:rsid w:val="385E093C"/>
    <w:rsid w:val="38905CEC"/>
    <w:rsid w:val="389D4385"/>
    <w:rsid w:val="38AC38BD"/>
    <w:rsid w:val="38AF7356"/>
    <w:rsid w:val="38F1355F"/>
    <w:rsid w:val="38FD0155"/>
    <w:rsid w:val="3902751A"/>
    <w:rsid w:val="39142064"/>
    <w:rsid w:val="391A5077"/>
    <w:rsid w:val="392B452E"/>
    <w:rsid w:val="392C772B"/>
    <w:rsid w:val="39512DCE"/>
    <w:rsid w:val="3953417E"/>
    <w:rsid w:val="395F0789"/>
    <w:rsid w:val="396106E4"/>
    <w:rsid w:val="39614C87"/>
    <w:rsid w:val="3962620A"/>
    <w:rsid w:val="396401D4"/>
    <w:rsid w:val="396639C8"/>
    <w:rsid w:val="39736669"/>
    <w:rsid w:val="397D41D0"/>
    <w:rsid w:val="39932904"/>
    <w:rsid w:val="3997308B"/>
    <w:rsid w:val="3997458B"/>
    <w:rsid w:val="39B20F40"/>
    <w:rsid w:val="39C7399C"/>
    <w:rsid w:val="39F33306"/>
    <w:rsid w:val="3A12378C"/>
    <w:rsid w:val="3A16583E"/>
    <w:rsid w:val="3A287454"/>
    <w:rsid w:val="3A325BDD"/>
    <w:rsid w:val="3A51744F"/>
    <w:rsid w:val="3A7C24F9"/>
    <w:rsid w:val="3A935CAE"/>
    <w:rsid w:val="3AB3685B"/>
    <w:rsid w:val="3B194FEF"/>
    <w:rsid w:val="3B1D688D"/>
    <w:rsid w:val="3B1F269D"/>
    <w:rsid w:val="3B422686"/>
    <w:rsid w:val="3B463458"/>
    <w:rsid w:val="3B506597"/>
    <w:rsid w:val="3B5D6317"/>
    <w:rsid w:val="3B8E1539"/>
    <w:rsid w:val="3BA174BE"/>
    <w:rsid w:val="3BAC7C11"/>
    <w:rsid w:val="3BB11066"/>
    <w:rsid w:val="3BD03D47"/>
    <w:rsid w:val="3C1036A0"/>
    <w:rsid w:val="3C3403DD"/>
    <w:rsid w:val="3C4C1252"/>
    <w:rsid w:val="3C7F0E81"/>
    <w:rsid w:val="3C805325"/>
    <w:rsid w:val="3CA115AD"/>
    <w:rsid w:val="3CB55E14"/>
    <w:rsid w:val="3CC211D4"/>
    <w:rsid w:val="3CC86AC9"/>
    <w:rsid w:val="3CE741A1"/>
    <w:rsid w:val="3D015B65"/>
    <w:rsid w:val="3D0315E8"/>
    <w:rsid w:val="3D357438"/>
    <w:rsid w:val="3D5054EA"/>
    <w:rsid w:val="3D5D11C3"/>
    <w:rsid w:val="3D6555A3"/>
    <w:rsid w:val="3D7828E4"/>
    <w:rsid w:val="3D804EB1"/>
    <w:rsid w:val="3DA121AB"/>
    <w:rsid w:val="3DD31DA8"/>
    <w:rsid w:val="3DF17B5D"/>
    <w:rsid w:val="3E0542F2"/>
    <w:rsid w:val="3E0F11C7"/>
    <w:rsid w:val="3E1D6BA4"/>
    <w:rsid w:val="3E242508"/>
    <w:rsid w:val="3E371DD0"/>
    <w:rsid w:val="3E375618"/>
    <w:rsid w:val="3E3C527C"/>
    <w:rsid w:val="3E4006A9"/>
    <w:rsid w:val="3E4C1CF0"/>
    <w:rsid w:val="3E684C93"/>
    <w:rsid w:val="3E9A6446"/>
    <w:rsid w:val="3EA43154"/>
    <w:rsid w:val="3EA807F0"/>
    <w:rsid w:val="3EB82751"/>
    <w:rsid w:val="3ECC2AA4"/>
    <w:rsid w:val="3EE94101"/>
    <w:rsid w:val="3EE945B0"/>
    <w:rsid w:val="3EEE5981"/>
    <w:rsid w:val="3EF92FA2"/>
    <w:rsid w:val="3F316171"/>
    <w:rsid w:val="3F473ED8"/>
    <w:rsid w:val="3F4B52AE"/>
    <w:rsid w:val="3F537B3A"/>
    <w:rsid w:val="3F836FED"/>
    <w:rsid w:val="4024421A"/>
    <w:rsid w:val="40281FE5"/>
    <w:rsid w:val="404325DE"/>
    <w:rsid w:val="4062433C"/>
    <w:rsid w:val="406D095A"/>
    <w:rsid w:val="40811E1B"/>
    <w:rsid w:val="409C4C15"/>
    <w:rsid w:val="40A610D2"/>
    <w:rsid w:val="40D55514"/>
    <w:rsid w:val="40D83954"/>
    <w:rsid w:val="40F736DC"/>
    <w:rsid w:val="4173508F"/>
    <w:rsid w:val="41BC0EFB"/>
    <w:rsid w:val="41BE41FA"/>
    <w:rsid w:val="41C757A4"/>
    <w:rsid w:val="420904E1"/>
    <w:rsid w:val="421309EA"/>
    <w:rsid w:val="421B632E"/>
    <w:rsid w:val="42235823"/>
    <w:rsid w:val="426270F0"/>
    <w:rsid w:val="42764AD5"/>
    <w:rsid w:val="42786A9F"/>
    <w:rsid w:val="42975177"/>
    <w:rsid w:val="42A9664F"/>
    <w:rsid w:val="42B22FF8"/>
    <w:rsid w:val="42D00689"/>
    <w:rsid w:val="42D42C88"/>
    <w:rsid w:val="42F97098"/>
    <w:rsid w:val="430345BA"/>
    <w:rsid w:val="43056584"/>
    <w:rsid w:val="43424DB9"/>
    <w:rsid w:val="435065C9"/>
    <w:rsid w:val="43864C8C"/>
    <w:rsid w:val="439B47F3"/>
    <w:rsid w:val="43AD2778"/>
    <w:rsid w:val="43B951B1"/>
    <w:rsid w:val="43C662C7"/>
    <w:rsid w:val="43DE6DF8"/>
    <w:rsid w:val="44440F87"/>
    <w:rsid w:val="44446C38"/>
    <w:rsid w:val="44570B1F"/>
    <w:rsid w:val="447C6C88"/>
    <w:rsid w:val="449B0822"/>
    <w:rsid w:val="44A45929"/>
    <w:rsid w:val="44A768D2"/>
    <w:rsid w:val="44C27B9C"/>
    <w:rsid w:val="44C47A07"/>
    <w:rsid w:val="44DF4BB3"/>
    <w:rsid w:val="44E126D9"/>
    <w:rsid w:val="44E41029"/>
    <w:rsid w:val="44EB1560"/>
    <w:rsid w:val="45220E78"/>
    <w:rsid w:val="45352A25"/>
    <w:rsid w:val="4537679D"/>
    <w:rsid w:val="45465FA2"/>
    <w:rsid w:val="456107F1"/>
    <w:rsid w:val="45625C5B"/>
    <w:rsid w:val="456B6447"/>
    <w:rsid w:val="458F5879"/>
    <w:rsid w:val="45967968"/>
    <w:rsid w:val="45AB2CE7"/>
    <w:rsid w:val="45AC2EF2"/>
    <w:rsid w:val="45E16709"/>
    <w:rsid w:val="45FF03E4"/>
    <w:rsid w:val="46002FAD"/>
    <w:rsid w:val="461F5BAF"/>
    <w:rsid w:val="462B7781"/>
    <w:rsid w:val="46D64596"/>
    <w:rsid w:val="46E110B6"/>
    <w:rsid w:val="46E9241A"/>
    <w:rsid w:val="46F25071"/>
    <w:rsid w:val="470A175E"/>
    <w:rsid w:val="47120C67"/>
    <w:rsid w:val="472208A0"/>
    <w:rsid w:val="47310DDD"/>
    <w:rsid w:val="474054BC"/>
    <w:rsid w:val="47730683"/>
    <w:rsid w:val="477B5067"/>
    <w:rsid w:val="478331F7"/>
    <w:rsid w:val="47A53E92"/>
    <w:rsid w:val="47A85DFD"/>
    <w:rsid w:val="47D76015"/>
    <w:rsid w:val="480C6C05"/>
    <w:rsid w:val="482C45B3"/>
    <w:rsid w:val="486C0E54"/>
    <w:rsid w:val="486D24D6"/>
    <w:rsid w:val="486F44A0"/>
    <w:rsid w:val="48960680"/>
    <w:rsid w:val="48AC1250"/>
    <w:rsid w:val="48C71E46"/>
    <w:rsid w:val="48D84BAC"/>
    <w:rsid w:val="48E22658"/>
    <w:rsid w:val="48F74A22"/>
    <w:rsid w:val="49001973"/>
    <w:rsid w:val="490654FA"/>
    <w:rsid w:val="49175290"/>
    <w:rsid w:val="49290AF3"/>
    <w:rsid w:val="4947002E"/>
    <w:rsid w:val="4947208B"/>
    <w:rsid w:val="4960671F"/>
    <w:rsid w:val="49746212"/>
    <w:rsid w:val="49975A5C"/>
    <w:rsid w:val="49A733C9"/>
    <w:rsid w:val="49BF6D61"/>
    <w:rsid w:val="49DE18BF"/>
    <w:rsid w:val="4A1A7B24"/>
    <w:rsid w:val="4A275032"/>
    <w:rsid w:val="4A390D73"/>
    <w:rsid w:val="4A4554B8"/>
    <w:rsid w:val="4A4B6BA3"/>
    <w:rsid w:val="4A547DF1"/>
    <w:rsid w:val="4A593071"/>
    <w:rsid w:val="4A6162A2"/>
    <w:rsid w:val="4A783AE0"/>
    <w:rsid w:val="4AA45F33"/>
    <w:rsid w:val="4ADB7BCB"/>
    <w:rsid w:val="4AFA62A3"/>
    <w:rsid w:val="4B0540F9"/>
    <w:rsid w:val="4B0B6956"/>
    <w:rsid w:val="4B1F642B"/>
    <w:rsid w:val="4B3151F1"/>
    <w:rsid w:val="4B40049B"/>
    <w:rsid w:val="4B4F63CF"/>
    <w:rsid w:val="4B6760AB"/>
    <w:rsid w:val="4BB68A9E"/>
    <w:rsid w:val="4BB953CE"/>
    <w:rsid w:val="4BC34640"/>
    <w:rsid w:val="4BC75EA7"/>
    <w:rsid w:val="4BDE6933"/>
    <w:rsid w:val="4BEB02E1"/>
    <w:rsid w:val="4BF54CBC"/>
    <w:rsid w:val="4BFE6267"/>
    <w:rsid w:val="4C1314D4"/>
    <w:rsid w:val="4C3F55C1"/>
    <w:rsid w:val="4C62560B"/>
    <w:rsid w:val="4C6E1098"/>
    <w:rsid w:val="4C72630D"/>
    <w:rsid w:val="4C885B30"/>
    <w:rsid w:val="4CA9278A"/>
    <w:rsid w:val="4CAA1F4A"/>
    <w:rsid w:val="4CAC181F"/>
    <w:rsid w:val="4CAC5CC3"/>
    <w:rsid w:val="4CB760A4"/>
    <w:rsid w:val="4CCE5C39"/>
    <w:rsid w:val="4CE26D58"/>
    <w:rsid w:val="4CE511D4"/>
    <w:rsid w:val="4CE55DD8"/>
    <w:rsid w:val="4CE679A0"/>
    <w:rsid w:val="4CF40EFC"/>
    <w:rsid w:val="4D0478AD"/>
    <w:rsid w:val="4D1A291C"/>
    <w:rsid w:val="4D3205D1"/>
    <w:rsid w:val="4D330192"/>
    <w:rsid w:val="4D4F503A"/>
    <w:rsid w:val="4D5D6FBD"/>
    <w:rsid w:val="4D923068"/>
    <w:rsid w:val="4DB2135F"/>
    <w:rsid w:val="4DB51333"/>
    <w:rsid w:val="4DC1754C"/>
    <w:rsid w:val="4DD0778F"/>
    <w:rsid w:val="4E071E2F"/>
    <w:rsid w:val="4E223413"/>
    <w:rsid w:val="4E2F29DD"/>
    <w:rsid w:val="4E300FA1"/>
    <w:rsid w:val="4E6D3230"/>
    <w:rsid w:val="4E8D0BDD"/>
    <w:rsid w:val="4E9B5FEF"/>
    <w:rsid w:val="4ED212E5"/>
    <w:rsid w:val="4ED82171"/>
    <w:rsid w:val="4F0911B5"/>
    <w:rsid w:val="4F1E49B3"/>
    <w:rsid w:val="4F2204BE"/>
    <w:rsid w:val="4F406C9C"/>
    <w:rsid w:val="4F4610AC"/>
    <w:rsid w:val="4F7F146C"/>
    <w:rsid w:val="4F813436"/>
    <w:rsid w:val="4F822921"/>
    <w:rsid w:val="4FB530E0"/>
    <w:rsid w:val="4FB66A13"/>
    <w:rsid w:val="4FBA72A2"/>
    <w:rsid w:val="4FE10CA2"/>
    <w:rsid w:val="4FE37D6A"/>
    <w:rsid w:val="50026131"/>
    <w:rsid w:val="50030059"/>
    <w:rsid w:val="5004162C"/>
    <w:rsid w:val="5005393F"/>
    <w:rsid w:val="501E22EF"/>
    <w:rsid w:val="503633ED"/>
    <w:rsid w:val="504A31EB"/>
    <w:rsid w:val="50546455"/>
    <w:rsid w:val="505529D3"/>
    <w:rsid w:val="506671D8"/>
    <w:rsid w:val="506E16BD"/>
    <w:rsid w:val="50BB0282"/>
    <w:rsid w:val="51631801"/>
    <w:rsid w:val="51905D10"/>
    <w:rsid w:val="519A00F8"/>
    <w:rsid w:val="519B0BCF"/>
    <w:rsid w:val="52065E75"/>
    <w:rsid w:val="52094AD8"/>
    <w:rsid w:val="52181704"/>
    <w:rsid w:val="5218355F"/>
    <w:rsid w:val="52795E81"/>
    <w:rsid w:val="52F43F1F"/>
    <w:rsid w:val="530C3017"/>
    <w:rsid w:val="531344F2"/>
    <w:rsid w:val="5341413B"/>
    <w:rsid w:val="53426A39"/>
    <w:rsid w:val="53591FD4"/>
    <w:rsid w:val="5370726B"/>
    <w:rsid w:val="538452A3"/>
    <w:rsid w:val="538E5B9A"/>
    <w:rsid w:val="53AE163A"/>
    <w:rsid w:val="53B042EA"/>
    <w:rsid w:val="53D11CA9"/>
    <w:rsid w:val="53D930E7"/>
    <w:rsid w:val="53EB290A"/>
    <w:rsid w:val="54096902"/>
    <w:rsid w:val="54167782"/>
    <w:rsid w:val="546226C7"/>
    <w:rsid w:val="546B0211"/>
    <w:rsid w:val="548D2CB9"/>
    <w:rsid w:val="54983AE6"/>
    <w:rsid w:val="54AD590D"/>
    <w:rsid w:val="54AF5050"/>
    <w:rsid w:val="54B41BB8"/>
    <w:rsid w:val="54FE3CA0"/>
    <w:rsid w:val="55167503"/>
    <w:rsid w:val="5536081F"/>
    <w:rsid w:val="5540169E"/>
    <w:rsid w:val="55540CA5"/>
    <w:rsid w:val="55582AEC"/>
    <w:rsid w:val="55765D29"/>
    <w:rsid w:val="55872E29"/>
    <w:rsid w:val="5595293A"/>
    <w:rsid w:val="55990DAE"/>
    <w:rsid w:val="55B63875"/>
    <w:rsid w:val="55C51BA3"/>
    <w:rsid w:val="55C6541D"/>
    <w:rsid w:val="55F37E4C"/>
    <w:rsid w:val="55FF3307"/>
    <w:rsid w:val="5600374C"/>
    <w:rsid w:val="561F6188"/>
    <w:rsid w:val="56244B1C"/>
    <w:rsid w:val="562E599A"/>
    <w:rsid w:val="563B2EBA"/>
    <w:rsid w:val="564C5AEF"/>
    <w:rsid w:val="564D5421"/>
    <w:rsid w:val="568562D9"/>
    <w:rsid w:val="568614BD"/>
    <w:rsid w:val="569972B8"/>
    <w:rsid w:val="56B61ABA"/>
    <w:rsid w:val="56DC0F52"/>
    <w:rsid w:val="56E42D73"/>
    <w:rsid w:val="570D2D8E"/>
    <w:rsid w:val="571B0AE2"/>
    <w:rsid w:val="5722557F"/>
    <w:rsid w:val="57263C36"/>
    <w:rsid w:val="57591330"/>
    <w:rsid w:val="57B25F34"/>
    <w:rsid w:val="57BA1929"/>
    <w:rsid w:val="57C54B34"/>
    <w:rsid w:val="57C93BCD"/>
    <w:rsid w:val="57E365C8"/>
    <w:rsid w:val="57EF2F07"/>
    <w:rsid w:val="58094C63"/>
    <w:rsid w:val="58173C7C"/>
    <w:rsid w:val="58291F8D"/>
    <w:rsid w:val="584636D9"/>
    <w:rsid w:val="5858681D"/>
    <w:rsid w:val="58750985"/>
    <w:rsid w:val="58994DA1"/>
    <w:rsid w:val="58A53BD6"/>
    <w:rsid w:val="58A91308"/>
    <w:rsid w:val="58DA5965"/>
    <w:rsid w:val="58F91658"/>
    <w:rsid w:val="59097FF9"/>
    <w:rsid w:val="590F3861"/>
    <w:rsid w:val="59244F41"/>
    <w:rsid w:val="59553D71"/>
    <w:rsid w:val="596A4F3B"/>
    <w:rsid w:val="598D5B12"/>
    <w:rsid w:val="59D81EA5"/>
    <w:rsid w:val="59E675A1"/>
    <w:rsid w:val="5A1E6BB8"/>
    <w:rsid w:val="5AAB14F9"/>
    <w:rsid w:val="5AB33C5A"/>
    <w:rsid w:val="5AB87F28"/>
    <w:rsid w:val="5AD22D98"/>
    <w:rsid w:val="5ADC0BC8"/>
    <w:rsid w:val="5ADF7263"/>
    <w:rsid w:val="5AFC3FD3"/>
    <w:rsid w:val="5B182775"/>
    <w:rsid w:val="5B1E7D8B"/>
    <w:rsid w:val="5B2776E0"/>
    <w:rsid w:val="5B47597C"/>
    <w:rsid w:val="5B7B38C4"/>
    <w:rsid w:val="5B8E4B6C"/>
    <w:rsid w:val="5B9170AA"/>
    <w:rsid w:val="5B95744F"/>
    <w:rsid w:val="5BA02E96"/>
    <w:rsid w:val="5BC90981"/>
    <w:rsid w:val="5BED3C02"/>
    <w:rsid w:val="5BF31218"/>
    <w:rsid w:val="5C252561"/>
    <w:rsid w:val="5C263D05"/>
    <w:rsid w:val="5C2A41F9"/>
    <w:rsid w:val="5C5C1FC4"/>
    <w:rsid w:val="5C7E485A"/>
    <w:rsid w:val="5C8A2056"/>
    <w:rsid w:val="5C9D20BB"/>
    <w:rsid w:val="5D177188"/>
    <w:rsid w:val="5DB752D8"/>
    <w:rsid w:val="5DBD28C6"/>
    <w:rsid w:val="5E297F1D"/>
    <w:rsid w:val="5E4B21FD"/>
    <w:rsid w:val="5E59557E"/>
    <w:rsid w:val="5E5A4DF1"/>
    <w:rsid w:val="5E5E0D45"/>
    <w:rsid w:val="5E6603EE"/>
    <w:rsid w:val="5E7D74BF"/>
    <w:rsid w:val="5EA22A81"/>
    <w:rsid w:val="5EBF1E11"/>
    <w:rsid w:val="5EC56A6D"/>
    <w:rsid w:val="5EE17914"/>
    <w:rsid w:val="5EEBA8A1"/>
    <w:rsid w:val="5EF752D7"/>
    <w:rsid w:val="5F0A2629"/>
    <w:rsid w:val="5F2B5559"/>
    <w:rsid w:val="5F3D09FC"/>
    <w:rsid w:val="5F55113B"/>
    <w:rsid w:val="5F5521EA"/>
    <w:rsid w:val="5F6B5569"/>
    <w:rsid w:val="5F7558A0"/>
    <w:rsid w:val="5F7C32D2"/>
    <w:rsid w:val="5FAF158F"/>
    <w:rsid w:val="5FB92B44"/>
    <w:rsid w:val="5FBE7D8F"/>
    <w:rsid w:val="5FFF33CD"/>
    <w:rsid w:val="60327E35"/>
    <w:rsid w:val="603D5FFA"/>
    <w:rsid w:val="60416C61"/>
    <w:rsid w:val="6054424F"/>
    <w:rsid w:val="60836515"/>
    <w:rsid w:val="60CA62C0"/>
    <w:rsid w:val="60CC43B6"/>
    <w:rsid w:val="60F42F78"/>
    <w:rsid w:val="610A6D98"/>
    <w:rsid w:val="610D6795"/>
    <w:rsid w:val="612400C6"/>
    <w:rsid w:val="61371BA7"/>
    <w:rsid w:val="615C6E29"/>
    <w:rsid w:val="6189617B"/>
    <w:rsid w:val="61A33D17"/>
    <w:rsid w:val="61E82EA1"/>
    <w:rsid w:val="61FC5B9A"/>
    <w:rsid w:val="61FE4465"/>
    <w:rsid w:val="620C2D09"/>
    <w:rsid w:val="62205CE0"/>
    <w:rsid w:val="62397A92"/>
    <w:rsid w:val="624C4FFD"/>
    <w:rsid w:val="625642AF"/>
    <w:rsid w:val="62620346"/>
    <w:rsid w:val="629068A6"/>
    <w:rsid w:val="629A2600"/>
    <w:rsid w:val="62C31218"/>
    <w:rsid w:val="62E827C1"/>
    <w:rsid w:val="62EE0099"/>
    <w:rsid w:val="62F532B3"/>
    <w:rsid w:val="630C545D"/>
    <w:rsid w:val="633D0FCB"/>
    <w:rsid w:val="63602B30"/>
    <w:rsid w:val="63862972"/>
    <w:rsid w:val="638C657C"/>
    <w:rsid w:val="63BE51D1"/>
    <w:rsid w:val="63C55B57"/>
    <w:rsid w:val="63CB4828"/>
    <w:rsid w:val="63CB700A"/>
    <w:rsid w:val="63F35B2D"/>
    <w:rsid w:val="63F773CC"/>
    <w:rsid w:val="6408782B"/>
    <w:rsid w:val="64151F48"/>
    <w:rsid w:val="64361BF7"/>
    <w:rsid w:val="643D0326"/>
    <w:rsid w:val="64647D68"/>
    <w:rsid w:val="646601A1"/>
    <w:rsid w:val="647F1BC7"/>
    <w:rsid w:val="648931A9"/>
    <w:rsid w:val="64DF3AD6"/>
    <w:rsid w:val="650A1482"/>
    <w:rsid w:val="653F11B6"/>
    <w:rsid w:val="65420B1A"/>
    <w:rsid w:val="655276D6"/>
    <w:rsid w:val="6553518E"/>
    <w:rsid w:val="6587477F"/>
    <w:rsid w:val="6593161E"/>
    <w:rsid w:val="659375C8"/>
    <w:rsid w:val="65A90C1D"/>
    <w:rsid w:val="65B52865"/>
    <w:rsid w:val="65E544EC"/>
    <w:rsid w:val="65F96C2E"/>
    <w:rsid w:val="660B53B0"/>
    <w:rsid w:val="66134265"/>
    <w:rsid w:val="6630007E"/>
    <w:rsid w:val="66304E17"/>
    <w:rsid w:val="66476B4C"/>
    <w:rsid w:val="66482160"/>
    <w:rsid w:val="66520765"/>
    <w:rsid w:val="667C1E0A"/>
    <w:rsid w:val="66886A01"/>
    <w:rsid w:val="669464FC"/>
    <w:rsid w:val="66CE181D"/>
    <w:rsid w:val="66DB4D83"/>
    <w:rsid w:val="671E3435"/>
    <w:rsid w:val="67401089"/>
    <w:rsid w:val="67456E6E"/>
    <w:rsid w:val="675C570B"/>
    <w:rsid w:val="67681C7B"/>
    <w:rsid w:val="67852CF3"/>
    <w:rsid w:val="679E53F0"/>
    <w:rsid w:val="67AC3B1F"/>
    <w:rsid w:val="67CE2102"/>
    <w:rsid w:val="67E7056D"/>
    <w:rsid w:val="68413BA0"/>
    <w:rsid w:val="68443D24"/>
    <w:rsid w:val="6853303E"/>
    <w:rsid w:val="68770AB6"/>
    <w:rsid w:val="687E00BB"/>
    <w:rsid w:val="687E455F"/>
    <w:rsid w:val="688F7696"/>
    <w:rsid w:val="68953657"/>
    <w:rsid w:val="68A3057A"/>
    <w:rsid w:val="68D0468F"/>
    <w:rsid w:val="690031C6"/>
    <w:rsid w:val="69056025"/>
    <w:rsid w:val="69360533"/>
    <w:rsid w:val="696A6892"/>
    <w:rsid w:val="697876F1"/>
    <w:rsid w:val="698060B5"/>
    <w:rsid w:val="69821E2D"/>
    <w:rsid w:val="698C05B6"/>
    <w:rsid w:val="699D6C67"/>
    <w:rsid w:val="69A81229"/>
    <w:rsid w:val="69A86CB1"/>
    <w:rsid w:val="69A91CA0"/>
    <w:rsid w:val="69C65294"/>
    <w:rsid w:val="69C73CE4"/>
    <w:rsid w:val="6A2302ED"/>
    <w:rsid w:val="6A2B55D9"/>
    <w:rsid w:val="6A2D3680"/>
    <w:rsid w:val="6A3C1FDC"/>
    <w:rsid w:val="6A5A48C1"/>
    <w:rsid w:val="6A5E2587"/>
    <w:rsid w:val="6A627569"/>
    <w:rsid w:val="6A86550A"/>
    <w:rsid w:val="6A934503"/>
    <w:rsid w:val="6ABF0C1B"/>
    <w:rsid w:val="6ACB0453"/>
    <w:rsid w:val="6AFE27FF"/>
    <w:rsid w:val="6B0F490D"/>
    <w:rsid w:val="6B122E21"/>
    <w:rsid w:val="6B38378D"/>
    <w:rsid w:val="6B394C8E"/>
    <w:rsid w:val="6B48768D"/>
    <w:rsid w:val="6B4E0812"/>
    <w:rsid w:val="6B601CFA"/>
    <w:rsid w:val="6B6E08BB"/>
    <w:rsid w:val="6B7C5AAE"/>
    <w:rsid w:val="6B9E0A74"/>
    <w:rsid w:val="6BC26511"/>
    <w:rsid w:val="6BC73E0F"/>
    <w:rsid w:val="6BE65E03"/>
    <w:rsid w:val="6BF729A6"/>
    <w:rsid w:val="6C296590"/>
    <w:rsid w:val="6C2D3044"/>
    <w:rsid w:val="6C4F240E"/>
    <w:rsid w:val="6C515AE7"/>
    <w:rsid w:val="6C545A9B"/>
    <w:rsid w:val="6C735A5D"/>
    <w:rsid w:val="6C7C0DB6"/>
    <w:rsid w:val="6C823EF2"/>
    <w:rsid w:val="6C9272F3"/>
    <w:rsid w:val="6C9C4FB4"/>
    <w:rsid w:val="6CA7574C"/>
    <w:rsid w:val="6CB5115E"/>
    <w:rsid w:val="6CE64282"/>
    <w:rsid w:val="6D0523B9"/>
    <w:rsid w:val="6D1C25A6"/>
    <w:rsid w:val="6D394EF9"/>
    <w:rsid w:val="6D4B68E6"/>
    <w:rsid w:val="6D6259F6"/>
    <w:rsid w:val="6D9734E9"/>
    <w:rsid w:val="6DC11ED8"/>
    <w:rsid w:val="6DE54739"/>
    <w:rsid w:val="6DF45878"/>
    <w:rsid w:val="6DF6EF6C"/>
    <w:rsid w:val="6DFB21AE"/>
    <w:rsid w:val="6E076F35"/>
    <w:rsid w:val="6E1F4B3C"/>
    <w:rsid w:val="6E414065"/>
    <w:rsid w:val="6E5C0E03"/>
    <w:rsid w:val="6E785AF8"/>
    <w:rsid w:val="6EA3A08E"/>
    <w:rsid w:val="6EDC3D8E"/>
    <w:rsid w:val="6EDF7AE0"/>
    <w:rsid w:val="6EED6F2E"/>
    <w:rsid w:val="6EF350DF"/>
    <w:rsid w:val="6EFD5AB2"/>
    <w:rsid w:val="6F120776"/>
    <w:rsid w:val="6F1C7394"/>
    <w:rsid w:val="6F23376B"/>
    <w:rsid w:val="6F2E3EBD"/>
    <w:rsid w:val="6F741D62"/>
    <w:rsid w:val="6F784CDA"/>
    <w:rsid w:val="6F863A5A"/>
    <w:rsid w:val="6F8D6E36"/>
    <w:rsid w:val="6F8F4674"/>
    <w:rsid w:val="6F9170A8"/>
    <w:rsid w:val="6FA5185C"/>
    <w:rsid w:val="6FBE3493"/>
    <w:rsid w:val="6FE10AAC"/>
    <w:rsid w:val="701A2D2B"/>
    <w:rsid w:val="70271038"/>
    <w:rsid w:val="70460BCE"/>
    <w:rsid w:val="704B11CB"/>
    <w:rsid w:val="704B16A2"/>
    <w:rsid w:val="704C4F43"/>
    <w:rsid w:val="70536BEC"/>
    <w:rsid w:val="70561401"/>
    <w:rsid w:val="70B57C5F"/>
    <w:rsid w:val="70C1323B"/>
    <w:rsid w:val="70D308FD"/>
    <w:rsid w:val="70ED0646"/>
    <w:rsid w:val="70F76C5D"/>
    <w:rsid w:val="71267315"/>
    <w:rsid w:val="712F289B"/>
    <w:rsid w:val="71345258"/>
    <w:rsid w:val="715C2F64"/>
    <w:rsid w:val="71722787"/>
    <w:rsid w:val="717E4F28"/>
    <w:rsid w:val="71946BA2"/>
    <w:rsid w:val="71AA07EA"/>
    <w:rsid w:val="71B0505E"/>
    <w:rsid w:val="72264648"/>
    <w:rsid w:val="727D3192"/>
    <w:rsid w:val="72822E9E"/>
    <w:rsid w:val="72B657BA"/>
    <w:rsid w:val="72C014E1"/>
    <w:rsid w:val="72C2361A"/>
    <w:rsid w:val="72F86CBC"/>
    <w:rsid w:val="72FB3A48"/>
    <w:rsid w:val="731D6723"/>
    <w:rsid w:val="73361C5C"/>
    <w:rsid w:val="736E6F7E"/>
    <w:rsid w:val="738A025C"/>
    <w:rsid w:val="738B1433"/>
    <w:rsid w:val="739A7CA1"/>
    <w:rsid w:val="73AB03D3"/>
    <w:rsid w:val="73BA2F27"/>
    <w:rsid w:val="73D74B24"/>
    <w:rsid w:val="7415005A"/>
    <w:rsid w:val="741E2983"/>
    <w:rsid w:val="746774D9"/>
    <w:rsid w:val="74725866"/>
    <w:rsid w:val="74801C60"/>
    <w:rsid w:val="74802BFB"/>
    <w:rsid w:val="74C274AB"/>
    <w:rsid w:val="74C30825"/>
    <w:rsid w:val="74CA6436"/>
    <w:rsid w:val="74DF6008"/>
    <w:rsid w:val="74F82FA3"/>
    <w:rsid w:val="7507768A"/>
    <w:rsid w:val="75141467"/>
    <w:rsid w:val="752040E1"/>
    <w:rsid w:val="755A61FA"/>
    <w:rsid w:val="75841300"/>
    <w:rsid w:val="759F0162"/>
    <w:rsid w:val="75C537CD"/>
    <w:rsid w:val="75E011C2"/>
    <w:rsid w:val="75EA70A8"/>
    <w:rsid w:val="76065B94"/>
    <w:rsid w:val="767C5E1D"/>
    <w:rsid w:val="769907B6"/>
    <w:rsid w:val="76B91F80"/>
    <w:rsid w:val="76C37EDE"/>
    <w:rsid w:val="77071BC4"/>
    <w:rsid w:val="772067E2"/>
    <w:rsid w:val="7741018A"/>
    <w:rsid w:val="774920A7"/>
    <w:rsid w:val="775F47FF"/>
    <w:rsid w:val="777636BC"/>
    <w:rsid w:val="778A6571"/>
    <w:rsid w:val="7790412B"/>
    <w:rsid w:val="779D056E"/>
    <w:rsid w:val="77A45665"/>
    <w:rsid w:val="77A57BB3"/>
    <w:rsid w:val="77A73063"/>
    <w:rsid w:val="77AE0AF7"/>
    <w:rsid w:val="77BE64A1"/>
    <w:rsid w:val="77C37C9D"/>
    <w:rsid w:val="77CD7695"/>
    <w:rsid w:val="77DE296C"/>
    <w:rsid w:val="77E31CE9"/>
    <w:rsid w:val="780D4FB8"/>
    <w:rsid w:val="78111DDB"/>
    <w:rsid w:val="781460A8"/>
    <w:rsid w:val="78177BE5"/>
    <w:rsid w:val="78237B54"/>
    <w:rsid w:val="785C1186"/>
    <w:rsid w:val="786848E4"/>
    <w:rsid w:val="78AF215C"/>
    <w:rsid w:val="78C05B4B"/>
    <w:rsid w:val="78C60B44"/>
    <w:rsid w:val="78D07E34"/>
    <w:rsid w:val="78D36201"/>
    <w:rsid w:val="78D83818"/>
    <w:rsid w:val="78F97376"/>
    <w:rsid w:val="790B46D7"/>
    <w:rsid w:val="792A12A3"/>
    <w:rsid w:val="79554E68"/>
    <w:rsid w:val="79717242"/>
    <w:rsid w:val="79AE2414"/>
    <w:rsid w:val="79BF0534"/>
    <w:rsid w:val="79C30DBC"/>
    <w:rsid w:val="79C54437"/>
    <w:rsid w:val="79FA5626"/>
    <w:rsid w:val="7A106921"/>
    <w:rsid w:val="7A1C77AE"/>
    <w:rsid w:val="7A2213B0"/>
    <w:rsid w:val="7A3315A5"/>
    <w:rsid w:val="7A3A38A2"/>
    <w:rsid w:val="7A5D4F9B"/>
    <w:rsid w:val="7A5F0B57"/>
    <w:rsid w:val="7A6243F7"/>
    <w:rsid w:val="7A654EB2"/>
    <w:rsid w:val="7A6611BA"/>
    <w:rsid w:val="7A6A2CCE"/>
    <w:rsid w:val="7A6A34B8"/>
    <w:rsid w:val="7A9419C0"/>
    <w:rsid w:val="7A9D1E1E"/>
    <w:rsid w:val="7AEC7106"/>
    <w:rsid w:val="7B02692A"/>
    <w:rsid w:val="7B066C5D"/>
    <w:rsid w:val="7B542EFE"/>
    <w:rsid w:val="7B577603"/>
    <w:rsid w:val="7B6018A2"/>
    <w:rsid w:val="7B790227"/>
    <w:rsid w:val="7B790DD9"/>
    <w:rsid w:val="7B8F365D"/>
    <w:rsid w:val="7BAF357A"/>
    <w:rsid w:val="7BBB0B80"/>
    <w:rsid w:val="7BC40083"/>
    <w:rsid w:val="7BD52290"/>
    <w:rsid w:val="7BEA5CFC"/>
    <w:rsid w:val="7BEE6EAE"/>
    <w:rsid w:val="7BFF910B"/>
    <w:rsid w:val="7C083761"/>
    <w:rsid w:val="7C3308B5"/>
    <w:rsid w:val="7C683105"/>
    <w:rsid w:val="7C8014A4"/>
    <w:rsid w:val="7C831A3B"/>
    <w:rsid w:val="7C844C33"/>
    <w:rsid w:val="7C923CDE"/>
    <w:rsid w:val="7C9A2322"/>
    <w:rsid w:val="7CB4634A"/>
    <w:rsid w:val="7CC914A0"/>
    <w:rsid w:val="7D015D79"/>
    <w:rsid w:val="7D0D28D5"/>
    <w:rsid w:val="7D4274B2"/>
    <w:rsid w:val="7D54518A"/>
    <w:rsid w:val="7D584F27"/>
    <w:rsid w:val="7D5947FB"/>
    <w:rsid w:val="7D747887"/>
    <w:rsid w:val="7D8E07A7"/>
    <w:rsid w:val="7DB92AD9"/>
    <w:rsid w:val="7DD27F3F"/>
    <w:rsid w:val="7DDA531F"/>
    <w:rsid w:val="7DDD0988"/>
    <w:rsid w:val="7E106730"/>
    <w:rsid w:val="7E333B13"/>
    <w:rsid w:val="7E34151F"/>
    <w:rsid w:val="7E461224"/>
    <w:rsid w:val="7E5133DA"/>
    <w:rsid w:val="7E7B3422"/>
    <w:rsid w:val="7E885D74"/>
    <w:rsid w:val="7E8A0867"/>
    <w:rsid w:val="7E9F4D36"/>
    <w:rsid w:val="7EAC5A37"/>
    <w:rsid w:val="7EB7696D"/>
    <w:rsid w:val="7EBE00E1"/>
    <w:rsid w:val="7ECF2FC7"/>
    <w:rsid w:val="7EFE24AF"/>
    <w:rsid w:val="7F0A3FFF"/>
    <w:rsid w:val="7F1C4E43"/>
    <w:rsid w:val="7F230281"/>
    <w:rsid w:val="7F386611"/>
    <w:rsid w:val="7F5E2687"/>
    <w:rsid w:val="7F6D43B7"/>
    <w:rsid w:val="7FB44613"/>
    <w:rsid w:val="7FF4BAC2"/>
    <w:rsid w:val="7FFDF235"/>
    <w:rsid w:val="9FFDEDD5"/>
    <w:rsid w:val="B47F4E74"/>
    <w:rsid w:val="BBF7BBB0"/>
    <w:rsid w:val="E65395FE"/>
    <w:rsid w:val="ECE36FD5"/>
    <w:rsid w:val="ED7EF5C7"/>
    <w:rsid w:val="FABF480A"/>
    <w:rsid w:val="FDFFF59C"/>
    <w:rsid w:val="FFF0C779"/>
    <w:rsid w:val="FFFF32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1044" w:firstLineChars="200"/>
      <w:jc w:val="both"/>
    </w:pPr>
    <w:rPr>
      <w:rFonts w:ascii="Times New Roman" w:hAnsi="Times New Roman" w:eastAsia="仿宋_GB2312" w:cs="Times New Roman"/>
      <w:kern w:val="2"/>
      <w:sz w:val="30"/>
      <w:szCs w:val="24"/>
      <w:lang w:val="en-US" w:eastAsia="zh-CN" w:bidi="ar-SA"/>
    </w:rPr>
  </w:style>
  <w:style w:type="paragraph" w:styleId="3">
    <w:name w:val="heading 1"/>
    <w:basedOn w:val="1"/>
    <w:next w:val="1"/>
    <w:qFormat/>
    <w:uiPriority w:val="0"/>
    <w:pPr>
      <w:keepNext/>
      <w:keepLines/>
      <w:outlineLvl w:val="0"/>
    </w:pPr>
    <w:rPr>
      <w:rFonts w:eastAsia="黑体"/>
      <w:kern w:val="44"/>
      <w:sz w:val="32"/>
    </w:rPr>
  </w:style>
  <w:style w:type="paragraph" w:styleId="4">
    <w:name w:val="heading 2"/>
    <w:basedOn w:val="1"/>
    <w:next w:val="1"/>
    <w:unhideWhenUsed/>
    <w:qFormat/>
    <w:uiPriority w:val="0"/>
    <w:pPr>
      <w:keepNext/>
      <w:keepLines/>
      <w:outlineLvl w:val="1"/>
    </w:pPr>
    <w:rPr>
      <w:rFonts w:ascii="Arial" w:hAnsi="Arial" w:eastAsia="楷体"/>
      <w:b/>
      <w:sz w:val="32"/>
    </w:rPr>
  </w:style>
  <w:style w:type="paragraph" w:styleId="5">
    <w:name w:val="heading 3"/>
    <w:basedOn w:val="1"/>
    <w:next w:val="1"/>
    <w:unhideWhenUsed/>
    <w:qFormat/>
    <w:uiPriority w:val="0"/>
    <w:pPr>
      <w:keepNext/>
      <w:keepLines/>
      <w:outlineLvl w:val="2"/>
    </w:pPr>
    <w:rPr>
      <w:b/>
      <w:sz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unhideWhenUsed/>
    <w:qFormat/>
    <w:uiPriority w:val="99"/>
  </w:style>
  <w:style w:type="paragraph" w:styleId="6">
    <w:name w:val="annotation text"/>
    <w:basedOn w:val="1"/>
    <w:link w:val="23"/>
    <w:qFormat/>
    <w:uiPriority w:val="0"/>
    <w:pPr>
      <w:jc w:val="left"/>
    </w:pPr>
  </w:style>
  <w:style w:type="paragraph" w:styleId="7">
    <w:name w:val="Body Text"/>
    <w:basedOn w:val="1"/>
    <w:qFormat/>
    <w:uiPriority w:val="99"/>
    <w:pPr>
      <w:ind w:firstLine="513"/>
    </w:pPr>
    <w:rPr>
      <w:rFonts w:ascii="仿宋_GB2312" w:hAnsi="仿宋_GB2312"/>
      <w:spacing w:val="-4"/>
      <w:w w:val="95"/>
      <w:szCs w:val="32"/>
    </w:rPr>
  </w:style>
  <w:style w:type="paragraph" w:styleId="8">
    <w:name w:val="Balloon Text"/>
    <w:basedOn w:val="1"/>
    <w:link w:val="22"/>
    <w:qFormat/>
    <w:uiPriority w:val="0"/>
    <w:pPr>
      <w:spacing w:line="240" w:lineRule="auto"/>
    </w:pPr>
    <w:rPr>
      <w:sz w:val="18"/>
      <w:szCs w:val="18"/>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style>
  <w:style w:type="paragraph" w:styleId="12">
    <w:name w:val="table of figures"/>
    <w:basedOn w:val="1"/>
    <w:next w:val="1"/>
    <w:qFormat/>
    <w:uiPriority w:val="0"/>
    <w:pPr>
      <w:ind w:left="200" w:leftChars="200" w:hanging="200" w:hangingChars="200"/>
    </w:pPr>
  </w:style>
  <w:style w:type="paragraph" w:styleId="13">
    <w:name w:val="toc 2"/>
    <w:basedOn w:val="1"/>
    <w:next w:val="1"/>
    <w:qFormat/>
    <w:uiPriority w:val="0"/>
    <w:pPr>
      <w:ind w:left="420" w:leftChars="200"/>
    </w:pPr>
  </w:style>
  <w:style w:type="paragraph" w:styleId="14">
    <w:name w:val="annotation subject"/>
    <w:basedOn w:val="6"/>
    <w:next w:val="6"/>
    <w:link w:val="24"/>
    <w:qFormat/>
    <w:uiPriority w:val="0"/>
    <w:rPr>
      <w:b/>
      <w:bCs/>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0"/>
  </w:style>
  <w:style w:type="character" w:styleId="19">
    <w:name w:val="Hyperlink"/>
    <w:basedOn w:val="17"/>
    <w:qFormat/>
    <w:uiPriority w:val="0"/>
    <w:rPr>
      <w:color w:val="0000FF"/>
      <w:u w:val="single"/>
    </w:rPr>
  </w:style>
  <w:style w:type="character" w:styleId="20">
    <w:name w:val="annotation reference"/>
    <w:basedOn w:val="17"/>
    <w:qFormat/>
    <w:uiPriority w:val="0"/>
    <w:rPr>
      <w:sz w:val="21"/>
      <w:szCs w:val="21"/>
    </w:rPr>
  </w:style>
  <w:style w:type="paragraph" w:customStyle="1" w:styleId="21">
    <w:name w:val="正文lq"/>
    <w:qFormat/>
    <w:uiPriority w:val="1"/>
    <w:pPr>
      <w:spacing w:line="560" w:lineRule="exact"/>
      <w:ind w:firstLine="560" w:firstLineChars="200"/>
    </w:pPr>
    <w:rPr>
      <w:rFonts w:ascii="Times New Roman" w:hAnsi="Times New Roman" w:eastAsia="仿宋_GB2312" w:cstheme="minorBidi"/>
      <w:sz w:val="28"/>
      <w:lang w:val="en-US" w:eastAsia="zh-CN" w:bidi="ar-SA"/>
    </w:rPr>
  </w:style>
  <w:style w:type="character" w:customStyle="1" w:styleId="22">
    <w:name w:val="批注框文本 Char"/>
    <w:basedOn w:val="17"/>
    <w:link w:val="8"/>
    <w:qFormat/>
    <w:uiPriority w:val="0"/>
    <w:rPr>
      <w:rFonts w:eastAsia="仿宋_GB2312"/>
      <w:kern w:val="2"/>
      <w:sz w:val="18"/>
      <w:szCs w:val="18"/>
    </w:rPr>
  </w:style>
  <w:style w:type="character" w:customStyle="1" w:styleId="23">
    <w:name w:val="批注文字 Char"/>
    <w:basedOn w:val="17"/>
    <w:link w:val="6"/>
    <w:qFormat/>
    <w:uiPriority w:val="0"/>
    <w:rPr>
      <w:rFonts w:eastAsia="仿宋_GB2312"/>
      <w:kern w:val="2"/>
      <w:sz w:val="30"/>
      <w:szCs w:val="24"/>
    </w:rPr>
  </w:style>
  <w:style w:type="character" w:customStyle="1" w:styleId="24">
    <w:name w:val="批注主题 Char"/>
    <w:basedOn w:val="23"/>
    <w:link w:val="14"/>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中国微软</Company>
  <Pages>39</Pages>
  <Words>17713</Words>
  <Characters>18232</Characters>
  <Lines>186</Lines>
  <Paragraphs>52</Paragraphs>
  <TotalTime>51</TotalTime>
  <ScaleCrop>false</ScaleCrop>
  <LinksUpToDate>false</LinksUpToDate>
  <CharactersWithSpaces>18293</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2021-07-21T11:33:00Z</dcterms:created>
  <dc:creator>Administrator</dc:creator>
  <cp:lastModifiedBy>user</cp:lastModifiedBy>
  <cp:lastPrinted>2021-09-01T11:31:00Z</cp:lastPrinted>
  <dcterms:modified xsi:type="dcterms:W3CDTF">2022-11-10T17:02:47Z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0F8B0699FED949D3BB1C7424DEA5E6A3</vt:lpwstr>
  </property>
</Properties>
</file>